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01B6" w14:textId="77777777" w:rsidR="00D94477" w:rsidRDefault="004856A3">
      <w:pPr>
        <w:rPr>
          <w:rFonts w:ascii="Arial" w:hAnsi="Arial" w:cs="Arial"/>
          <w:b/>
          <w:bCs/>
          <w:sz w:val="24"/>
          <w:szCs w:val="24"/>
          <w:u w:val="single"/>
        </w:rPr>
      </w:pPr>
      <w:r w:rsidRPr="004856A3">
        <w:rPr>
          <w:rFonts w:ascii="Arial" w:hAnsi="Arial" w:cs="Arial"/>
          <w:b/>
          <w:bCs/>
          <w:sz w:val="24"/>
          <w:szCs w:val="24"/>
          <w:u w:val="single"/>
        </w:rPr>
        <w:t>Proposal of multicentred study of whether it is necessary to carry out a routine chest X-ray following chest drain removal after lung resection</w:t>
      </w:r>
    </w:p>
    <w:p w14:paraId="4A67796F" w14:textId="77777777" w:rsidR="004856A3" w:rsidRDefault="004856A3">
      <w:pPr>
        <w:rPr>
          <w:rFonts w:ascii="Arial" w:hAnsi="Arial" w:cs="Arial"/>
          <w:b/>
          <w:bCs/>
          <w:sz w:val="24"/>
          <w:szCs w:val="24"/>
          <w:u w:val="single"/>
        </w:rPr>
      </w:pPr>
    </w:p>
    <w:p w14:paraId="7EAA7AC0" w14:textId="77777777" w:rsidR="009942AB" w:rsidRDefault="004856A3" w:rsidP="009942AB">
      <w:pPr>
        <w:rPr>
          <w:rFonts w:ascii="Arial" w:hAnsi="Arial" w:cs="Arial"/>
          <w:b/>
          <w:bCs/>
          <w:sz w:val="24"/>
          <w:szCs w:val="24"/>
          <w:u w:val="single"/>
        </w:rPr>
      </w:pPr>
      <w:r>
        <w:rPr>
          <w:rFonts w:ascii="Arial" w:hAnsi="Arial" w:cs="Arial"/>
          <w:b/>
          <w:bCs/>
          <w:sz w:val="24"/>
          <w:szCs w:val="24"/>
          <w:u w:val="single"/>
        </w:rPr>
        <w:t xml:space="preserve">Aim: </w:t>
      </w:r>
    </w:p>
    <w:p w14:paraId="6D341960" w14:textId="77777777" w:rsidR="004C007A" w:rsidRPr="009942AB" w:rsidRDefault="004856A3" w:rsidP="009942AB">
      <w:pPr>
        <w:pStyle w:val="ListParagraph"/>
        <w:numPr>
          <w:ilvl w:val="0"/>
          <w:numId w:val="1"/>
        </w:numPr>
        <w:spacing w:line="360" w:lineRule="auto"/>
        <w:rPr>
          <w:rFonts w:ascii="Arial" w:hAnsi="Arial" w:cs="Arial"/>
          <w:b/>
          <w:bCs/>
          <w:sz w:val="24"/>
          <w:szCs w:val="24"/>
          <w:u w:val="single"/>
        </w:rPr>
      </w:pPr>
      <w:r w:rsidRPr="009942AB">
        <w:rPr>
          <w:rFonts w:ascii="Arial" w:hAnsi="Arial" w:cs="Arial"/>
          <w:sz w:val="24"/>
          <w:szCs w:val="24"/>
        </w:rPr>
        <w:t>The aim of this study was to discover whether it is safe to selectively carry out a chest X-</w:t>
      </w:r>
      <w:r w:rsidR="004C007A" w:rsidRPr="009942AB">
        <w:rPr>
          <w:rFonts w:ascii="Arial" w:hAnsi="Arial" w:cs="Arial"/>
          <w:sz w:val="24"/>
          <w:szCs w:val="24"/>
        </w:rPr>
        <w:t>ray</w:t>
      </w:r>
    </w:p>
    <w:p w14:paraId="02BE5B02" w14:textId="77777777" w:rsidR="004856A3" w:rsidRPr="004C007A" w:rsidRDefault="004856A3" w:rsidP="009942AB">
      <w:pPr>
        <w:pStyle w:val="ListParagraph"/>
        <w:numPr>
          <w:ilvl w:val="0"/>
          <w:numId w:val="1"/>
        </w:numPr>
        <w:spacing w:line="360" w:lineRule="auto"/>
        <w:rPr>
          <w:rFonts w:ascii="Arial" w:hAnsi="Arial" w:cs="Arial"/>
          <w:sz w:val="24"/>
          <w:szCs w:val="24"/>
        </w:rPr>
      </w:pPr>
      <w:r w:rsidRPr="004C007A">
        <w:rPr>
          <w:rFonts w:ascii="Arial" w:hAnsi="Arial" w:cs="Arial"/>
          <w:sz w:val="24"/>
          <w:szCs w:val="24"/>
        </w:rPr>
        <w:t>To identify the effectiveness of a chest X-ray post chest drain removal</w:t>
      </w:r>
    </w:p>
    <w:p w14:paraId="5BB61B31" w14:textId="77777777" w:rsidR="004856A3" w:rsidRDefault="004856A3" w:rsidP="009942AB">
      <w:pPr>
        <w:pStyle w:val="ListParagraph"/>
        <w:numPr>
          <w:ilvl w:val="0"/>
          <w:numId w:val="1"/>
        </w:numPr>
        <w:spacing w:line="360" w:lineRule="auto"/>
        <w:rPr>
          <w:rFonts w:ascii="Arial" w:hAnsi="Arial" w:cs="Arial"/>
          <w:sz w:val="24"/>
          <w:szCs w:val="24"/>
        </w:rPr>
      </w:pPr>
      <w:r w:rsidRPr="005D67C3">
        <w:rPr>
          <w:rFonts w:ascii="Arial" w:hAnsi="Arial" w:cs="Arial"/>
          <w:sz w:val="24"/>
          <w:szCs w:val="24"/>
        </w:rPr>
        <w:t xml:space="preserve">To evaluate the financial impact for carrying out a routine </w:t>
      </w:r>
      <w:r>
        <w:rPr>
          <w:rFonts w:ascii="Arial" w:hAnsi="Arial" w:cs="Arial"/>
          <w:sz w:val="24"/>
          <w:szCs w:val="24"/>
        </w:rPr>
        <w:t>chest drain</w:t>
      </w:r>
      <w:r w:rsidRPr="005D67C3">
        <w:rPr>
          <w:rFonts w:ascii="Arial" w:hAnsi="Arial" w:cs="Arial"/>
          <w:sz w:val="24"/>
          <w:szCs w:val="24"/>
        </w:rPr>
        <w:t xml:space="preserve"> in the thoracic department of the hospital</w:t>
      </w:r>
    </w:p>
    <w:p w14:paraId="743DFADF" w14:textId="77777777" w:rsidR="004856A3" w:rsidRDefault="004856A3" w:rsidP="009942AB">
      <w:pPr>
        <w:pStyle w:val="ListParagraph"/>
        <w:numPr>
          <w:ilvl w:val="0"/>
          <w:numId w:val="1"/>
        </w:numPr>
        <w:spacing w:line="360" w:lineRule="auto"/>
        <w:rPr>
          <w:rFonts w:ascii="Arial" w:hAnsi="Arial" w:cs="Arial"/>
          <w:sz w:val="24"/>
          <w:szCs w:val="24"/>
        </w:rPr>
      </w:pPr>
      <w:r w:rsidRPr="005D67C3">
        <w:rPr>
          <w:rFonts w:ascii="Arial" w:hAnsi="Arial" w:cs="Arial"/>
          <w:sz w:val="24"/>
          <w:szCs w:val="24"/>
        </w:rPr>
        <w:t xml:space="preserve">To formulate recommendations </w:t>
      </w:r>
      <w:r w:rsidR="009942AB">
        <w:rPr>
          <w:rFonts w:ascii="Arial" w:hAnsi="Arial" w:cs="Arial"/>
          <w:sz w:val="24"/>
          <w:szCs w:val="24"/>
        </w:rPr>
        <w:t xml:space="preserve">(algorithm) </w:t>
      </w:r>
      <w:r w:rsidRPr="005D67C3">
        <w:rPr>
          <w:rFonts w:ascii="Arial" w:hAnsi="Arial" w:cs="Arial"/>
          <w:sz w:val="24"/>
          <w:szCs w:val="24"/>
        </w:rPr>
        <w:t xml:space="preserve">for the future management of thoracic patients, such as whether to carry out routine </w:t>
      </w:r>
      <w:r>
        <w:rPr>
          <w:rFonts w:ascii="Arial" w:hAnsi="Arial" w:cs="Arial"/>
          <w:sz w:val="24"/>
          <w:szCs w:val="24"/>
        </w:rPr>
        <w:t>chest X-ray</w:t>
      </w:r>
      <w:r w:rsidRPr="005D67C3">
        <w:rPr>
          <w:rFonts w:ascii="Arial" w:hAnsi="Arial" w:cs="Arial"/>
          <w:sz w:val="24"/>
          <w:szCs w:val="24"/>
        </w:rPr>
        <w:t xml:space="preserve"> after the </w:t>
      </w:r>
      <w:r>
        <w:rPr>
          <w:rFonts w:ascii="Arial" w:hAnsi="Arial" w:cs="Arial"/>
          <w:sz w:val="24"/>
          <w:szCs w:val="24"/>
        </w:rPr>
        <w:t>chest drain</w:t>
      </w:r>
      <w:r w:rsidRPr="005D67C3">
        <w:rPr>
          <w:rFonts w:ascii="Arial" w:hAnsi="Arial" w:cs="Arial"/>
          <w:sz w:val="24"/>
          <w:szCs w:val="24"/>
        </w:rPr>
        <w:t xml:space="preserve"> removal</w:t>
      </w:r>
    </w:p>
    <w:p w14:paraId="08CE2637" w14:textId="77777777" w:rsidR="004856A3" w:rsidRDefault="004856A3" w:rsidP="009942AB">
      <w:pPr>
        <w:spacing w:line="360" w:lineRule="auto"/>
        <w:rPr>
          <w:rFonts w:ascii="Arial" w:hAnsi="Arial" w:cs="Arial"/>
          <w:sz w:val="24"/>
          <w:szCs w:val="24"/>
        </w:rPr>
      </w:pPr>
      <w:r>
        <w:rPr>
          <w:rFonts w:ascii="Arial" w:hAnsi="Arial" w:cs="Arial"/>
          <w:sz w:val="24"/>
          <w:szCs w:val="24"/>
        </w:rPr>
        <w:t>There is no guidelines or policy of whether it is necessary to carry out a CXR following a chest drain</w:t>
      </w:r>
      <w:r w:rsidR="009942AB">
        <w:rPr>
          <w:rFonts w:ascii="Arial" w:hAnsi="Arial" w:cs="Arial"/>
          <w:sz w:val="24"/>
          <w:szCs w:val="24"/>
        </w:rPr>
        <w:t xml:space="preserve"> (CD)</w:t>
      </w:r>
      <w:r>
        <w:rPr>
          <w:rFonts w:ascii="Arial" w:hAnsi="Arial" w:cs="Arial"/>
          <w:sz w:val="24"/>
          <w:szCs w:val="24"/>
        </w:rPr>
        <w:t xml:space="preserve"> removal within BTS. </w:t>
      </w:r>
      <w:r>
        <w:rPr>
          <w:rFonts w:ascii="Arial" w:eastAsia="Times New Roman" w:hAnsi="Arial" w:cs="Arial"/>
          <w:bCs/>
          <w:color w:val="000000" w:themeColor="text1"/>
          <w:sz w:val="24"/>
          <w:szCs w:val="24"/>
        </w:rPr>
        <w:t>The decision to obtain a CXR after CD removal is dependent on surgeon preference but not on any specific disease process or other clinical determinant or evidence-based practice</w:t>
      </w:r>
      <w:r w:rsidRPr="004856A3">
        <w:rPr>
          <w:rFonts w:ascii="Arial" w:hAnsi="Arial" w:cs="Arial"/>
          <w:sz w:val="24"/>
          <w:szCs w:val="24"/>
        </w:rPr>
        <w:t xml:space="preserve"> </w:t>
      </w:r>
      <w:r>
        <w:rPr>
          <w:rFonts w:ascii="Arial" w:hAnsi="Arial" w:cs="Arial"/>
          <w:sz w:val="24"/>
          <w:szCs w:val="24"/>
        </w:rPr>
        <w:t xml:space="preserve">in different hospitals within the NHS. In order to standardise the procedure, some of the Thoracic surgeons and myself felt that it would be beneficial for patients as well as Thoracic surgeons to have a guideline/policy regarding the procedure. However, it would need </w:t>
      </w:r>
      <w:r w:rsidR="004C007A">
        <w:rPr>
          <w:rFonts w:ascii="Arial" w:hAnsi="Arial" w:cs="Arial"/>
          <w:sz w:val="24"/>
          <w:szCs w:val="24"/>
        </w:rPr>
        <w:t xml:space="preserve">robust evidence prior to the guideline/policy to be written. </w:t>
      </w:r>
    </w:p>
    <w:p w14:paraId="679CC05A" w14:textId="77777777" w:rsidR="004856A3" w:rsidRDefault="004856A3" w:rsidP="009942AB">
      <w:pPr>
        <w:spacing w:line="360" w:lineRule="auto"/>
        <w:rPr>
          <w:rFonts w:ascii="Arial" w:hAnsi="Arial" w:cs="Arial"/>
          <w:sz w:val="24"/>
          <w:szCs w:val="24"/>
        </w:rPr>
      </w:pPr>
      <w:r w:rsidRPr="004856A3">
        <w:rPr>
          <w:rFonts w:ascii="Arial" w:hAnsi="Arial" w:cs="Arial"/>
          <w:sz w:val="24"/>
          <w:szCs w:val="24"/>
        </w:rPr>
        <w:t xml:space="preserve">There is growing literary evidence that shows a CXR is not routinely needed following the removal of chest drain (CD) in adult patients who have had a CD inserted following a lung resection, trauma, or spontaneous pneumothorax etc. </w:t>
      </w:r>
      <w:r w:rsidR="004C007A">
        <w:rPr>
          <w:rFonts w:ascii="Arial" w:hAnsi="Arial" w:cs="Arial"/>
          <w:sz w:val="24"/>
          <w:szCs w:val="24"/>
        </w:rPr>
        <w:t xml:space="preserve">However, there is little evidence from the UK. </w:t>
      </w:r>
    </w:p>
    <w:p w14:paraId="038C3BA1" w14:textId="77777777" w:rsidR="004C007A" w:rsidRDefault="004C007A" w:rsidP="009942AB">
      <w:pPr>
        <w:spacing w:line="360" w:lineRule="auto"/>
        <w:rPr>
          <w:rFonts w:ascii="Arial" w:hAnsi="Arial" w:cs="Arial"/>
          <w:sz w:val="24"/>
          <w:szCs w:val="24"/>
        </w:rPr>
      </w:pPr>
      <w:r>
        <w:rPr>
          <w:rFonts w:ascii="Arial" w:hAnsi="Arial" w:cs="Arial"/>
          <w:sz w:val="24"/>
          <w:szCs w:val="24"/>
        </w:rPr>
        <w:t xml:space="preserve">The study I conducted in 2020 showed that only 1% (21 out of 2050 patients) needed chest drain reinsertion and </w:t>
      </w:r>
      <w:r>
        <w:rPr>
          <w:rFonts w:ascii="Arial" w:hAnsi="Arial" w:cs="Arial"/>
          <w:sz w:val="24"/>
          <w:szCs w:val="24"/>
        </w:rPr>
        <w:t>twenty out of the 21 patients (95%) experienced some degree of respiratory difficulties (</w:t>
      </w:r>
      <w:r>
        <w:rPr>
          <w:rFonts w:ascii="Arial" w:hAnsi="Arial" w:cs="Arial"/>
          <w:sz w:val="24"/>
          <w:szCs w:val="24"/>
        </w:rPr>
        <w:t>appendix1</w:t>
      </w:r>
      <w:r>
        <w:rPr>
          <w:rFonts w:ascii="Arial" w:hAnsi="Arial" w:cs="Arial"/>
          <w:sz w:val="24"/>
          <w:szCs w:val="24"/>
        </w:rPr>
        <w:t xml:space="preserve">), which warranted further </w:t>
      </w:r>
      <w:r w:rsidRPr="00EE4EAA">
        <w:rPr>
          <w:rFonts w:ascii="Arial" w:hAnsi="Arial" w:cs="Arial"/>
          <w:sz w:val="24"/>
          <w:szCs w:val="24"/>
        </w:rPr>
        <w:t>investigation leading</w:t>
      </w:r>
      <w:r>
        <w:rPr>
          <w:rFonts w:ascii="Arial" w:hAnsi="Arial" w:cs="Arial"/>
          <w:sz w:val="24"/>
          <w:szCs w:val="24"/>
        </w:rPr>
        <w:t xml:space="preserve"> to a CD reinsertion. There was only one among those 21 patients (5%) who required a CD </w:t>
      </w:r>
      <w:r w:rsidRPr="00EE4EAA">
        <w:rPr>
          <w:rFonts w:ascii="Arial" w:hAnsi="Arial" w:cs="Arial"/>
          <w:sz w:val="24"/>
          <w:szCs w:val="24"/>
        </w:rPr>
        <w:t>reinsertion did</w:t>
      </w:r>
      <w:r>
        <w:rPr>
          <w:rFonts w:ascii="Arial" w:hAnsi="Arial" w:cs="Arial"/>
          <w:sz w:val="24"/>
          <w:szCs w:val="24"/>
        </w:rPr>
        <w:t xml:space="preserve"> not show any signs and/or symptoms but had a CD </w:t>
      </w:r>
      <w:r w:rsidRPr="00EE4EAA">
        <w:rPr>
          <w:rFonts w:ascii="Arial" w:hAnsi="Arial" w:cs="Arial"/>
          <w:sz w:val="24"/>
          <w:szCs w:val="24"/>
        </w:rPr>
        <w:t>reinsertion based</w:t>
      </w:r>
      <w:r>
        <w:rPr>
          <w:rFonts w:ascii="Arial" w:hAnsi="Arial" w:cs="Arial"/>
          <w:sz w:val="24"/>
          <w:szCs w:val="24"/>
        </w:rPr>
        <w:t xml:space="preserve"> on CXR findings, which may or may not have been necessary. </w:t>
      </w:r>
    </w:p>
    <w:p w14:paraId="35D8376D" w14:textId="550BE002" w:rsidR="009942AB" w:rsidRPr="004856A3" w:rsidRDefault="009942AB" w:rsidP="009942AB">
      <w:pPr>
        <w:spacing w:line="360" w:lineRule="auto"/>
        <w:rPr>
          <w:rFonts w:ascii="Arial" w:hAnsi="Arial" w:cs="Arial"/>
          <w:b/>
          <w:bCs/>
          <w:sz w:val="24"/>
          <w:szCs w:val="24"/>
          <w:u w:val="single"/>
        </w:rPr>
      </w:pPr>
      <w:r>
        <w:rPr>
          <w:rFonts w:ascii="Arial" w:eastAsia="Times New Roman" w:hAnsi="Arial" w:cs="Arial"/>
          <w:bCs/>
          <w:color w:val="000000" w:themeColor="text1"/>
          <w:sz w:val="24"/>
          <w:szCs w:val="24"/>
        </w:rPr>
        <w:lastRenderedPageBreak/>
        <w:t>The patients</w:t>
      </w:r>
      <w:r>
        <w:rPr>
          <w:rFonts w:ascii="Arial" w:eastAsia="Times New Roman" w:hAnsi="Arial" w:cs="Arial"/>
          <w:bCs/>
          <w:color w:val="000000" w:themeColor="text1"/>
          <w:sz w:val="24"/>
          <w:szCs w:val="24"/>
        </w:rPr>
        <w:t xml:space="preserve"> who were</w:t>
      </w:r>
      <w:r>
        <w:rPr>
          <w:rFonts w:ascii="Arial" w:eastAsia="Times New Roman" w:hAnsi="Arial" w:cs="Arial"/>
          <w:bCs/>
          <w:color w:val="000000" w:themeColor="text1"/>
          <w:sz w:val="24"/>
          <w:szCs w:val="24"/>
        </w:rPr>
        <w:t xml:space="preserve"> in </w:t>
      </w:r>
      <w:r>
        <w:rPr>
          <w:rFonts w:ascii="Arial" w:eastAsia="Times New Roman" w:hAnsi="Arial" w:cs="Arial"/>
          <w:bCs/>
          <w:color w:val="000000" w:themeColor="text1"/>
          <w:sz w:val="24"/>
          <w:szCs w:val="24"/>
        </w:rPr>
        <w:t xml:space="preserve">the </w:t>
      </w:r>
      <w:r>
        <w:rPr>
          <w:rFonts w:ascii="Arial" w:eastAsia="Times New Roman" w:hAnsi="Arial" w:cs="Arial"/>
          <w:bCs/>
          <w:color w:val="000000" w:themeColor="text1"/>
          <w:sz w:val="24"/>
          <w:szCs w:val="24"/>
        </w:rPr>
        <w:t xml:space="preserve">group of the study did </w:t>
      </w:r>
      <w:r w:rsidRPr="007048E8">
        <w:rPr>
          <w:rFonts w:ascii="Arial" w:eastAsia="Times New Roman" w:hAnsi="Arial" w:cs="Arial"/>
          <w:bCs/>
          <w:color w:val="000000" w:themeColor="text1"/>
          <w:sz w:val="24"/>
          <w:szCs w:val="24"/>
        </w:rPr>
        <w:t>n</w:t>
      </w:r>
      <w:r>
        <w:rPr>
          <w:rFonts w:ascii="Arial" w:eastAsia="Times New Roman" w:hAnsi="Arial" w:cs="Arial"/>
          <w:bCs/>
          <w:color w:val="000000" w:themeColor="text1"/>
          <w:sz w:val="24"/>
          <w:szCs w:val="24"/>
        </w:rPr>
        <w:t>ot perform a routine CXR</w:t>
      </w:r>
      <w:r w:rsidRPr="007048E8">
        <w:rPr>
          <w:rFonts w:ascii="Arial" w:eastAsia="Times New Roman" w:hAnsi="Arial" w:cs="Arial"/>
          <w:bCs/>
          <w:color w:val="000000" w:themeColor="text1"/>
          <w:sz w:val="24"/>
          <w:szCs w:val="24"/>
        </w:rPr>
        <w:t xml:space="preserve"> following a </w:t>
      </w:r>
      <w:r>
        <w:rPr>
          <w:rFonts w:ascii="Arial" w:eastAsia="Times New Roman" w:hAnsi="Arial" w:cs="Arial"/>
          <w:bCs/>
          <w:color w:val="000000" w:themeColor="text1"/>
          <w:sz w:val="24"/>
          <w:szCs w:val="24"/>
        </w:rPr>
        <w:t>CD</w:t>
      </w:r>
      <w:r w:rsidRPr="007048E8">
        <w:rPr>
          <w:rFonts w:ascii="Arial" w:eastAsia="Times New Roman" w:hAnsi="Arial" w:cs="Arial"/>
          <w:bCs/>
          <w:color w:val="000000" w:themeColor="text1"/>
          <w:sz w:val="24"/>
          <w:szCs w:val="24"/>
        </w:rPr>
        <w:t xml:space="preserve"> removal unless clinical </w:t>
      </w:r>
      <w:r>
        <w:rPr>
          <w:rFonts w:ascii="Arial" w:hAnsi="Arial" w:cs="Arial"/>
          <w:color w:val="000000" w:themeColor="text1"/>
          <w:sz w:val="24"/>
          <w:szCs w:val="24"/>
          <w:lang w:val="en-US"/>
        </w:rPr>
        <w:t xml:space="preserve">signs </w:t>
      </w:r>
      <w:r w:rsidRPr="00D30CA7">
        <w:rPr>
          <w:rFonts w:ascii="Arial" w:hAnsi="Arial" w:cs="Arial"/>
          <w:color w:val="000000" w:themeColor="text1"/>
          <w:sz w:val="24"/>
          <w:szCs w:val="24"/>
          <w:lang w:val="en-US"/>
        </w:rPr>
        <w:t xml:space="preserve">and/or symptoms </w:t>
      </w:r>
      <w:r w:rsidRPr="00D30CA7">
        <w:rPr>
          <w:rFonts w:ascii="Arial" w:eastAsia="Times New Roman" w:hAnsi="Arial" w:cs="Arial"/>
          <w:bCs/>
          <w:color w:val="000000" w:themeColor="text1"/>
          <w:sz w:val="24"/>
          <w:szCs w:val="24"/>
        </w:rPr>
        <w:t>indicate it is necessary, such as the patient’s co-morbidity, the patient</w:t>
      </w:r>
      <w:r>
        <w:rPr>
          <w:rFonts w:ascii="Arial" w:eastAsia="Times New Roman" w:hAnsi="Arial" w:cs="Arial"/>
          <w:bCs/>
          <w:color w:val="000000" w:themeColor="text1"/>
          <w:sz w:val="24"/>
          <w:szCs w:val="24"/>
        </w:rPr>
        <w:t xml:space="preserve"> develops onset shortness of breath, </w:t>
      </w:r>
      <w:r w:rsidRPr="007048E8">
        <w:rPr>
          <w:rFonts w:ascii="Arial" w:eastAsia="Times New Roman" w:hAnsi="Arial" w:cs="Arial"/>
          <w:bCs/>
          <w:color w:val="000000" w:themeColor="text1"/>
          <w:sz w:val="24"/>
          <w:szCs w:val="24"/>
        </w:rPr>
        <w:t>desaturation</w:t>
      </w:r>
      <w:r w:rsidR="00303DEC">
        <w:rPr>
          <w:rFonts w:ascii="Arial" w:eastAsia="Times New Roman" w:hAnsi="Arial" w:cs="Arial"/>
          <w:bCs/>
          <w:color w:val="000000" w:themeColor="text1"/>
          <w:sz w:val="24"/>
          <w:szCs w:val="24"/>
        </w:rPr>
        <w:t>,</w:t>
      </w:r>
      <w:r w:rsidRPr="007048E8">
        <w:rPr>
          <w:rFonts w:ascii="Arial" w:eastAsia="Times New Roman" w:hAnsi="Arial" w:cs="Arial"/>
          <w:bCs/>
          <w:color w:val="000000" w:themeColor="text1"/>
          <w:sz w:val="24"/>
          <w:szCs w:val="24"/>
        </w:rPr>
        <w:t xml:space="preserve"> </w:t>
      </w:r>
      <w:r>
        <w:rPr>
          <w:rFonts w:ascii="Arial" w:eastAsia="Times New Roman" w:hAnsi="Arial" w:cs="Arial"/>
          <w:bCs/>
          <w:color w:val="000000" w:themeColor="text1"/>
          <w:sz w:val="24"/>
          <w:szCs w:val="24"/>
        </w:rPr>
        <w:t xml:space="preserve">post operative recovery complications or cardiovascular instability </w:t>
      </w:r>
      <w:r w:rsidRPr="007048E8">
        <w:rPr>
          <w:rFonts w:ascii="Arial" w:eastAsia="Times New Roman" w:hAnsi="Arial" w:cs="Arial"/>
          <w:bCs/>
          <w:color w:val="000000" w:themeColor="text1"/>
          <w:sz w:val="24"/>
          <w:szCs w:val="24"/>
        </w:rPr>
        <w:t xml:space="preserve">etc. </w:t>
      </w:r>
      <w:r>
        <w:rPr>
          <w:rFonts w:ascii="Arial" w:eastAsia="Times New Roman" w:hAnsi="Arial" w:cs="Arial"/>
          <w:bCs/>
          <w:color w:val="000000" w:themeColor="text1"/>
          <w:sz w:val="24"/>
          <w:szCs w:val="24"/>
        </w:rPr>
        <w:t>For those patients who have not been selected for CXR fol</w:t>
      </w:r>
      <w:r w:rsidRPr="00D30CA7">
        <w:rPr>
          <w:rFonts w:ascii="Arial" w:eastAsia="Times New Roman" w:hAnsi="Arial" w:cs="Arial"/>
          <w:bCs/>
          <w:color w:val="000000" w:themeColor="text1"/>
          <w:sz w:val="24"/>
          <w:szCs w:val="24"/>
        </w:rPr>
        <w:t>lowing the CD removal, the nursing staff will monitor them for 2 - 4 hours following</w:t>
      </w:r>
      <w:r>
        <w:rPr>
          <w:rFonts w:ascii="Arial" w:eastAsia="Times New Roman" w:hAnsi="Arial" w:cs="Arial"/>
          <w:bCs/>
          <w:color w:val="000000" w:themeColor="text1"/>
          <w:sz w:val="24"/>
          <w:szCs w:val="24"/>
        </w:rPr>
        <w:t xml:space="preserve"> the CD removal. After an Advanced Nurse Practitioner (ANP) has examined </w:t>
      </w:r>
      <w:r w:rsidRPr="00D30CA7">
        <w:rPr>
          <w:rFonts w:ascii="Arial" w:eastAsia="Times New Roman" w:hAnsi="Arial" w:cs="Arial"/>
          <w:bCs/>
          <w:color w:val="000000" w:themeColor="text1"/>
          <w:sz w:val="24"/>
          <w:szCs w:val="24"/>
        </w:rPr>
        <w:t>them</w:t>
      </w:r>
      <w:r>
        <w:rPr>
          <w:rFonts w:ascii="Arial" w:eastAsia="Times New Roman" w:hAnsi="Arial" w:cs="Arial"/>
          <w:bCs/>
          <w:color w:val="000000" w:themeColor="text1"/>
          <w:sz w:val="24"/>
          <w:szCs w:val="24"/>
        </w:rPr>
        <w:t>,</w:t>
      </w:r>
      <w:r w:rsidRPr="00D30CA7">
        <w:rPr>
          <w:rFonts w:ascii="Arial" w:eastAsia="Times New Roman" w:hAnsi="Arial" w:cs="Arial"/>
          <w:bCs/>
          <w:color w:val="000000" w:themeColor="text1"/>
          <w:sz w:val="24"/>
          <w:szCs w:val="24"/>
        </w:rPr>
        <w:t xml:space="preserve"> they</w:t>
      </w:r>
      <w:r>
        <w:rPr>
          <w:rFonts w:ascii="Arial" w:eastAsia="Times New Roman" w:hAnsi="Arial" w:cs="Arial"/>
          <w:bCs/>
          <w:color w:val="000000" w:themeColor="text1"/>
          <w:sz w:val="24"/>
          <w:szCs w:val="24"/>
        </w:rPr>
        <w:t xml:space="preserve"> will be discharged home if they </w:t>
      </w:r>
      <w:r w:rsidRPr="00D30CA7">
        <w:rPr>
          <w:rFonts w:ascii="Arial" w:eastAsia="Times New Roman" w:hAnsi="Arial" w:cs="Arial"/>
          <w:bCs/>
          <w:color w:val="000000" w:themeColor="text1"/>
          <w:sz w:val="24"/>
          <w:szCs w:val="24"/>
        </w:rPr>
        <w:t>are c</w:t>
      </w:r>
      <w:r>
        <w:rPr>
          <w:rFonts w:ascii="Arial" w:eastAsia="Times New Roman" w:hAnsi="Arial" w:cs="Arial"/>
          <w:bCs/>
          <w:color w:val="000000" w:themeColor="text1"/>
          <w:sz w:val="24"/>
          <w:szCs w:val="24"/>
        </w:rPr>
        <w:t>linically stable.</w:t>
      </w:r>
    </w:p>
    <w:p w14:paraId="42D32352" w14:textId="77777777" w:rsidR="009942AB" w:rsidRDefault="009942AB" w:rsidP="009942AB">
      <w:pPr>
        <w:spacing w:line="360" w:lineRule="auto"/>
        <w:rPr>
          <w:rFonts w:ascii="Arial" w:hAnsi="Arial" w:cs="Arial"/>
          <w:sz w:val="24"/>
          <w:szCs w:val="24"/>
        </w:rPr>
      </w:pPr>
    </w:p>
    <w:p w14:paraId="38FEC8A5" w14:textId="2F584B15" w:rsidR="000B4C03" w:rsidRDefault="000B4C03" w:rsidP="009942AB">
      <w:pPr>
        <w:spacing w:before="240" w:line="360" w:lineRule="auto"/>
        <w:rPr>
          <w:rFonts w:ascii="Arial" w:hAnsi="Arial" w:cs="Arial"/>
          <w:sz w:val="24"/>
          <w:szCs w:val="24"/>
        </w:rPr>
      </w:pPr>
      <w:r>
        <w:rPr>
          <w:rFonts w:ascii="Arial" w:hAnsi="Arial" w:cs="Arial"/>
          <w:sz w:val="24"/>
          <w:szCs w:val="24"/>
        </w:rPr>
        <w:t>During the study period</w:t>
      </w:r>
      <w:bookmarkStart w:id="0" w:name="_Hlk47602973"/>
      <w:r>
        <w:rPr>
          <w:rFonts w:ascii="Arial" w:hAnsi="Arial" w:cs="Arial"/>
          <w:sz w:val="24"/>
          <w:szCs w:val="24"/>
        </w:rPr>
        <w:t xml:space="preserve">, £14,166 </w:t>
      </w:r>
      <w:bookmarkEnd w:id="0"/>
      <w:r>
        <w:rPr>
          <w:rFonts w:ascii="Arial" w:hAnsi="Arial" w:cs="Arial"/>
          <w:sz w:val="24"/>
          <w:szCs w:val="24"/>
        </w:rPr>
        <w:t xml:space="preserve">would have </w:t>
      </w:r>
      <w:r w:rsidRPr="00EE4EAA">
        <w:rPr>
          <w:rFonts w:ascii="Arial" w:hAnsi="Arial" w:cs="Arial"/>
          <w:sz w:val="24"/>
          <w:szCs w:val="24"/>
        </w:rPr>
        <w:t>been</w:t>
      </w:r>
      <w:r>
        <w:rPr>
          <w:rFonts w:ascii="Arial" w:hAnsi="Arial" w:cs="Arial"/>
          <w:sz w:val="24"/>
          <w:szCs w:val="24"/>
        </w:rPr>
        <w:t xml:space="preserve"> saved from the </w:t>
      </w:r>
      <w:r w:rsidR="00303DEC">
        <w:rPr>
          <w:rFonts w:ascii="Arial" w:hAnsi="Arial" w:cs="Arial"/>
          <w:sz w:val="24"/>
          <w:szCs w:val="24"/>
        </w:rPr>
        <w:t xml:space="preserve">routinely carry out a </w:t>
      </w:r>
      <w:r>
        <w:rPr>
          <w:rFonts w:ascii="Arial" w:hAnsi="Arial" w:cs="Arial"/>
          <w:sz w:val="24"/>
          <w:szCs w:val="24"/>
        </w:rPr>
        <w:t xml:space="preserve">CXR if the </w:t>
      </w:r>
      <w:r w:rsidRPr="00EE4EAA">
        <w:rPr>
          <w:rFonts w:ascii="Arial" w:hAnsi="Arial" w:cs="Arial"/>
          <w:sz w:val="24"/>
          <w:szCs w:val="24"/>
        </w:rPr>
        <w:t>patients d</w:t>
      </w:r>
      <w:r>
        <w:rPr>
          <w:rFonts w:ascii="Arial" w:hAnsi="Arial" w:cs="Arial"/>
          <w:sz w:val="24"/>
          <w:szCs w:val="24"/>
        </w:rPr>
        <w:t>id not have their CXR routinely following the CD removal</w:t>
      </w:r>
      <w:r w:rsidRPr="006274BF">
        <w:rPr>
          <w:rFonts w:ascii="Arial" w:hAnsi="Arial" w:cs="Arial"/>
          <w:sz w:val="24"/>
          <w:szCs w:val="24"/>
        </w:rPr>
        <w:t>. The CXR savings did not include the cost of nursing staff, radiographers, porters, ward clerks and receptionists’ wages, which would add a remarkable amount of savings in addition to the figures already calculated in t</w:t>
      </w:r>
      <w:r>
        <w:rPr>
          <w:rFonts w:ascii="Arial" w:hAnsi="Arial" w:cs="Arial"/>
          <w:sz w:val="24"/>
          <w:szCs w:val="24"/>
        </w:rPr>
        <w:t>he</w:t>
      </w:r>
      <w:r w:rsidRPr="006274BF">
        <w:rPr>
          <w:rFonts w:ascii="Arial" w:hAnsi="Arial" w:cs="Arial"/>
          <w:sz w:val="24"/>
          <w:szCs w:val="24"/>
        </w:rPr>
        <w:t xml:space="preserve"> study. </w:t>
      </w:r>
    </w:p>
    <w:p w14:paraId="351D1815" w14:textId="446AE999" w:rsidR="009942AB" w:rsidRPr="00303DEC" w:rsidRDefault="000B4C03" w:rsidP="00303DEC">
      <w:pPr>
        <w:spacing w:before="240" w:line="360" w:lineRule="auto"/>
        <w:rPr>
          <w:rFonts w:ascii="Arial" w:hAnsi="Arial" w:cs="Arial"/>
          <w:color w:val="FF0000"/>
          <w:sz w:val="24"/>
          <w:szCs w:val="24"/>
        </w:rPr>
      </w:pPr>
      <w:r>
        <w:rPr>
          <w:rFonts w:ascii="Arial" w:hAnsi="Arial" w:cs="Arial"/>
          <w:sz w:val="24"/>
          <w:szCs w:val="24"/>
        </w:rPr>
        <w:t xml:space="preserve">I have mentioned the multicentred study to some of my Thoracic colleagues who are from different trust, and the feed back are encouraging and positive. </w:t>
      </w:r>
      <w:r w:rsidR="00303DEC">
        <w:rPr>
          <w:rFonts w:ascii="Arial" w:hAnsi="Arial" w:cs="Arial"/>
          <w:sz w:val="24"/>
          <w:szCs w:val="24"/>
        </w:rPr>
        <w:t xml:space="preserve">They all felt that it would provide evidence to guide our future practice and beneficial to our patients </w:t>
      </w:r>
      <w:r w:rsidR="00303DEC" w:rsidRPr="00FE7B09">
        <w:rPr>
          <w:rFonts w:ascii="Arial" w:hAnsi="Arial" w:cs="Arial"/>
          <w:sz w:val="24"/>
          <w:szCs w:val="24"/>
        </w:rPr>
        <w:t>a reduction in exposure</w:t>
      </w:r>
      <w:r w:rsidR="00303DEC">
        <w:rPr>
          <w:rFonts w:ascii="Arial" w:hAnsi="Arial" w:cs="Arial"/>
          <w:sz w:val="24"/>
          <w:szCs w:val="24"/>
        </w:rPr>
        <w:t xml:space="preserve"> to radiation, </w:t>
      </w:r>
      <w:r w:rsidR="00303DEC">
        <w:rPr>
          <w:rFonts w:ascii="Arial" w:hAnsi="Arial" w:cs="Arial"/>
          <w:sz w:val="24"/>
          <w:szCs w:val="24"/>
        </w:rPr>
        <w:t xml:space="preserve">and </w:t>
      </w:r>
      <w:r w:rsidR="00303DEC">
        <w:rPr>
          <w:rFonts w:ascii="Arial" w:hAnsi="Arial" w:cs="Arial"/>
          <w:sz w:val="24"/>
          <w:szCs w:val="24"/>
        </w:rPr>
        <w:t>unnecessary interventions in asymptomatic patients</w:t>
      </w:r>
    </w:p>
    <w:p w14:paraId="3831AA95" w14:textId="77777777" w:rsidR="009942AB" w:rsidRDefault="009942AB" w:rsidP="000B4C03">
      <w:pPr>
        <w:rPr>
          <w:rFonts w:ascii="Arial" w:hAnsi="Arial" w:cs="Arial"/>
          <w:sz w:val="24"/>
          <w:szCs w:val="24"/>
        </w:rPr>
      </w:pPr>
    </w:p>
    <w:p w14:paraId="6469DE82" w14:textId="77777777" w:rsidR="009942AB" w:rsidRDefault="009942AB" w:rsidP="000B4C03">
      <w:pPr>
        <w:rPr>
          <w:rFonts w:ascii="Arial" w:hAnsi="Arial" w:cs="Arial"/>
          <w:sz w:val="24"/>
          <w:szCs w:val="24"/>
        </w:rPr>
      </w:pPr>
    </w:p>
    <w:p w14:paraId="4C8A0CE6" w14:textId="77777777" w:rsidR="009942AB" w:rsidRDefault="009942AB" w:rsidP="000B4C03">
      <w:pPr>
        <w:rPr>
          <w:rFonts w:ascii="Arial" w:hAnsi="Arial" w:cs="Arial"/>
          <w:sz w:val="24"/>
          <w:szCs w:val="24"/>
        </w:rPr>
      </w:pPr>
    </w:p>
    <w:p w14:paraId="671DAE11" w14:textId="77777777" w:rsidR="009942AB" w:rsidRDefault="009942AB" w:rsidP="000B4C03">
      <w:pPr>
        <w:rPr>
          <w:rFonts w:ascii="Arial" w:hAnsi="Arial" w:cs="Arial"/>
          <w:sz w:val="24"/>
          <w:szCs w:val="24"/>
        </w:rPr>
      </w:pPr>
    </w:p>
    <w:p w14:paraId="78ABAC32" w14:textId="77777777" w:rsidR="009942AB" w:rsidRDefault="009942AB" w:rsidP="000B4C03">
      <w:pPr>
        <w:rPr>
          <w:rFonts w:ascii="Arial" w:hAnsi="Arial" w:cs="Arial"/>
          <w:sz w:val="24"/>
          <w:szCs w:val="24"/>
        </w:rPr>
      </w:pPr>
    </w:p>
    <w:p w14:paraId="6CF9FB30" w14:textId="77777777" w:rsidR="009942AB" w:rsidRDefault="009942AB" w:rsidP="000B4C03">
      <w:pPr>
        <w:rPr>
          <w:rFonts w:ascii="Arial" w:hAnsi="Arial" w:cs="Arial"/>
          <w:sz w:val="24"/>
          <w:szCs w:val="24"/>
        </w:rPr>
      </w:pPr>
    </w:p>
    <w:p w14:paraId="4D26588C" w14:textId="77777777" w:rsidR="009942AB" w:rsidRDefault="009942AB" w:rsidP="000B4C03">
      <w:pPr>
        <w:rPr>
          <w:rFonts w:ascii="Arial" w:hAnsi="Arial" w:cs="Arial"/>
          <w:sz w:val="24"/>
          <w:szCs w:val="24"/>
        </w:rPr>
      </w:pPr>
    </w:p>
    <w:p w14:paraId="531FD34B" w14:textId="77777777" w:rsidR="009942AB" w:rsidRDefault="009942AB" w:rsidP="000B4C03">
      <w:pPr>
        <w:rPr>
          <w:rFonts w:ascii="Arial" w:hAnsi="Arial" w:cs="Arial"/>
          <w:sz w:val="24"/>
          <w:szCs w:val="24"/>
        </w:rPr>
      </w:pPr>
    </w:p>
    <w:p w14:paraId="06F9B553" w14:textId="77777777" w:rsidR="009942AB" w:rsidRDefault="009942AB" w:rsidP="000B4C03">
      <w:pPr>
        <w:rPr>
          <w:rFonts w:ascii="Arial" w:hAnsi="Arial" w:cs="Arial"/>
          <w:sz w:val="24"/>
          <w:szCs w:val="24"/>
        </w:rPr>
      </w:pPr>
    </w:p>
    <w:p w14:paraId="34ADD2CC" w14:textId="77777777" w:rsidR="009942AB" w:rsidRDefault="009942AB" w:rsidP="000B4C03">
      <w:pPr>
        <w:rPr>
          <w:rFonts w:ascii="Arial" w:hAnsi="Arial" w:cs="Arial"/>
          <w:sz w:val="24"/>
          <w:szCs w:val="24"/>
        </w:rPr>
      </w:pPr>
    </w:p>
    <w:p w14:paraId="0B7CA4F1" w14:textId="77777777" w:rsidR="009942AB" w:rsidRDefault="009942AB" w:rsidP="000B4C03">
      <w:pPr>
        <w:rPr>
          <w:rFonts w:ascii="Arial" w:hAnsi="Arial" w:cs="Arial"/>
          <w:sz w:val="24"/>
          <w:szCs w:val="24"/>
        </w:rPr>
      </w:pPr>
    </w:p>
    <w:p w14:paraId="47D07A4E" w14:textId="77777777" w:rsidR="009942AB" w:rsidRDefault="009942AB" w:rsidP="000B4C03">
      <w:pPr>
        <w:rPr>
          <w:rFonts w:ascii="Arial" w:hAnsi="Arial" w:cs="Arial"/>
          <w:sz w:val="24"/>
          <w:szCs w:val="24"/>
        </w:rPr>
      </w:pPr>
    </w:p>
    <w:p w14:paraId="23F0EA7D" w14:textId="77777777" w:rsidR="000B4C03" w:rsidRPr="005E7C66" w:rsidRDefault="004C007A" w:rsidP="000B4C03">
      <w:pPr>
        <w:rPr>
          <w:rFonts w:ascii="Arial" w:hAnsi="Arial" w:cs="Arial"/>
          <w:b/>
          <w:bCs/>
          <w:sz w:val="32"/>
          <w:szCs w:val="32"/>
        </w:rPr>
      </w:pPr>
      <w:r>
        <w:rPr>
          <w:rFonts w:ascii="Arial" w:hAnsi="Arial" w:cs="Arial"/>
          <w:sz w:val="24"/>
          <w:szCs w:val="24"/>
        </w:rPr>
        <w:t xml:space="preserve"> </w:t>
      </w:r>
      <w:r w:rsidR="000B4C03">
        <w:rPr>
          <w:rFonts w:ascii="Arial" w:hAnsi="Arial" w:cs="Arial"/>
          <w:b/>
          <w:bCs/>
          <w:sz w:val="32"/>
          <w:szCs w:val="32"/>
        </w:rPr>
        <w:t xml:space="preserve">Appendix 1. </w:t>
      </w:r>
    </w:p>
    <w:p w14:paraId="6C608351" w14:textId="77777777" w:rsidR="000B4C03" w:rsidRPr="005E7C66" w:rsidRDefault="000B4C03" w:rsidP="000B4C03">
      <w:pPr>
        <w:rPr>
          <w:rFonts w:ascii="Arial" w:hAnsi="Arial" w:cs="Arial"/>
          <w:b/>
          <w:bCs/>
          <w:sz w:val="24"/>
          <w:szCs w:val="24"/>
        </w:rPr>
      </w:pPr>
      <w:r w:rsidRPr="005E7C66">
        <w:rPr>
          <w:rFonts w:ascii="Arial" w:hAnsi="Arial" w:cs="Arial"/>
          <w:b/>
          <w:bCs/>
          <w:sz w:val="24"/>
          <w:szCs w:val="24"/>
        </w:rPr>
        <w:t>Distribution of re-evaluation: signs and symptoms, CXR findings and resulted interventions</w:t>
      </w:r>
    </w:p>
    <w:tbl>
      <w:tblPr>
        <w:tblStyle w:val="TableGrid"/>
        <w:tblW w:w="0" w:type="auto"/>
        <w:tblLook w:val="04A0" w:firstRow="1" w:lastRow="0" w:firstColumn="1" w:lastColumn="0" w:noHBand="0" w:noVBand="1"/>
      </w:tblPr>
      <w:tblGrid>
        <w:gridCol w:w="1980"/>
        <w:gridCol w:w="2528"/>
        <w:gridCol w:w="2575"/>
        <w:gridCol w:w="1933"/>
      </w:tblGrid>
      <w:tr w:rsidR="000B4C03" w14:paraId="6CD62468" w14:textId="77777777" w:rsidTr="007C24DB">
        <w:tc>
          <w:tcPr>
            <w:tcW w:w="1980" w:type="dxa"/>
          </w:tcPr>
          <w:p w14:paraId="4D9AA652" w14:textId="77777777" w:rsidR="000B4C03" w:rsidRDefault="000B4C03" w:rsidP="007C24DB">
            <w:pPr>
              <w:rPr>
                <w:rFonts w:ascii="Arial" w:hAnsi="Arial" w:cs="Arial"/>
                <w:sz w:val="24"/>
                <w:szCs w:val="24"/>
              </w:rPr>
            </w:pPr>
            <w:r>
              <w:rPr>
                <w:rFonts w:ascii="Arial" w:hAnsi="Arial" w:cs="Arial"/>
                <w:sz w:val="24"/>
                <w:szCs w:val="24"/>
              </w:rPr>
              <w:t>Variable</w:t>
            </w:r>
          </w:p>
        </w:tc>
        <w:tc>
          <w:tcPr>
            <w:tcW w:w="2528" w:type="dxa"/>
          </w:tcPr>
          <w:p w14:paraId="40EB8735" w14:textId="77777777" w:rsidR="000B4C03" w:rsidRDefault="000B4C03" w:rsidP="007C24DB">
            <w:pPr>
              <w:rPr>
                <w:rFonts w:ascii="Arial" w:hAnsi="Arial" w:cs="Arial"/>
                <w:sz w:val="24"/>
                <w:szCs w:val="24"/>
              </w:rPr>
            </w:pPr>
            <w:r>
              <w:rPr>
                <w:rFonts w:ascii="Arial" w:hAnsi="Arial" w:cs="Arial"/>
                <w:sz w:val="24"/>
                <w:szCs w:val="24"/>
              </w:rPr>
              <w:t>Group 1: Selective CXR n = 8 (2%)</w:t>
            </w:r>
          </w:p>
        </w:tc>
        <w:tc>
          <w:tcPr>
            <w:tcW w:w="2575" w:type="dxa"/>
          </w:tcPr>
          <w:p w14:paraId="26AED9EB" w14:textId="77777777" w:rsidR="000B4C03" w:rsidRDefault="000B4C03" w:rsidP="007C24DB">
            <w:pPr>
              <w:rPr>
                <w:rFonts w:ascii="Arial" w:hAnsi="Arial" w:cs="Arial"/>
                <w:sz w:val="24"/>
                <w:szCs w:val="24"/>
              </w:rPr>
            </w:pPr>
            <w:r>
              <w:rPr>
                <w:rFonts w:ascii="Arial" w:hAnsi="Arial" w:cs="Arial"/>
                <w:sz w:val="24"/>
                <w:szCs w:val="24"/>
              </w:rPr>
              <w:t>Group 2: Routine CXR n = 13 (1%)</w:t>
            </w:r>
          </w:p>
        </w:tc>
        <w:tc>
          <w:tcPr>
            <w:tcW w:w="1933" w:type="dxa"/>
          </w:tcPr>
          <w:p w14:paraId="1CEAC1CC" w14:textId="77777777" w:rsidR="000B4C03" w:rsidRDefault="000B4C03" w:rsidP="007C24DB">
            <w:pPr>
              <w:rPr>
                <w:rFonts w:ascii="Arial" w:hAnsi="Arial" w:cs="Arial"/>
                <w:sz w:val="24"/>
                <w:szCs w:val="24"/>
              </w:rPr>
            </w:pPr>
            <w:r>
              <w:rPr>
                <w:rFonts w:ascii="Arial" w:hAnsi="Arial" w:cs="Arial"/>
                <w:sz w:val="24"/>
                <w:szCs w:val="24"/>
              </w:rPr>
              <w:t>Total patients (%)</w:t>
            </w:r>
          </w:p>
          <w:p w14:paraId="75197623" w14:textId="77777777" w:rsidR="000B4C03" w:rsidRDefault="000B4C03" w:rsidP="007C24DB">
            <w:pPr>
              <w:rPr>
                <w:rFonts w:ascii="Arial" w:hAnsi="Arial" w:cs="Arial"/>
                <w:sz w:val="24"/>
                <w:szCs w:val="24"/>
              </w:rPr>
            </w:pPr>
            <w:r>
              <w:rPr>
                <w:rFonts w:ascii="Arial" w:hAnsi="Arial" w:cs="Arial"/>
                <w:sz w:val="24"/>
                <w:szCs w:val="24"/>
              </w:rPr>
              <w:t>n = 21 (1%)</w:t>
            </w:r>
          </w:p>
        </w:tc>
      </w:tr>
      <w:tr w:rsidR="000B4C03" w14:paraId="6FB102AB" w14:textId="77777777" w:rsidTr="007C24DB">
        <w:tc>
          <w:tcPr>
            <w:tcW w:w="1980" w:type="dxa"/>
          </w:tcPr>
          <w:p w14:paraId="6E3FA82F" w14:textId="77777777" w:rsidR="000B4C03" w:rsidRDefault="000B4C03" w:rsidP="007C24DB">
            <w:pPr>
              <w:rPr>
                <w:rFonts w:ascii="Arial" w:hAnsi="Arial" w:cs="Arial"/>
                <w:sz w:val="24"/>
                <w:szCs w:val="24"/>
              </w:rPr>
            </w:pPr>
            <w:r w:rsidRPr="00180149">
              <w:rPr>
                <w:rFonts w:ascii="Arial" w:hAnsi="Arial" w:cs="Arial"/>
                <w:b/>
                <w:bCs/>
                <w:sz w:val="24"/>
                <w:szCs w:val="24"/>
              </w:rPr>
              <w:t>Chest drain reinsertion</w:t>
            </w:r>
          </w:p>
        </w:tc>
        <w:tc>
          <w:tcPr>
            <w:tcW w:w="2528" w:type="dxa"/>
          </w:tcPr>
          <w:p w14:paraId="1B23FD66" w14:textId="77777777" w:rsidR="000B4C03" w:rsidRDefault="000B4C03" w:rsidP="007C24DB">
            <w:pPr>
              <w:rPr>
                <w:rFonts w:ascii="Arial" w:hAnsi="Arial" w:cs="Arial"/>
                <w:sz w:val="24"/>
                <w:szCs w:val="24"/>
              </w:rPr>
            </w:pPr>
          </w:p>
        </w:tc>
        <w:tc>
          <w:tcPr>
            <w:tcW w:w="2575" w:type="dxa"/>
          </w:tcPr>
          <w:p w14:paraId="4EBD024D" w14:textId="77777777" w:rsidR="000B4C03" w:rsidRDefault="000B4C03" w:rsidP="007C24DB">
            <w:pPr>
              <w:rPr>
                <w:rFonts w:ascii="Arial" w:hAnsi="Arial" w:cs="Arial"/>
                <w:sz w:val="24"/>
                <w:szCs w:val="24"/>
              </w:rPr>
            </w:pPr>
          </w:p>
        </w:tc>
        <w:tc>
          <w:tcPr>
            <w:tcW w:w="1933" w:type="dxa"/>
          </w:tcPr>
          <w:p w14:paraId="440E326B" w14:textId="77777777" w:rsidR="000B4C03" w:rsidRDefault="000B4C03" w:rsidP="007C24DB">
            <w:pPr>
              <w:rPr>
                <w:rFonts w:ascii="Arial" w:hAnsi="Arial" w:cs="Arial"/>
                <w:sz w:val="24"/>
                <w:szCs w:val="24"/>
              </w:rPr>
            </w:pPr>
          </w:p>
        </w:tc>
      </w:tr>
      <w:tr w:rsidR="000B4C03" w14:paraId="2C0DC5ED" w14:textId="77777777" w:rsidTr="007C24DB">
        <w:tc>
          <w:tcPr>
            <w:tcW w:w="1980" w:type="dxa"/>
          </w:tcPr>
          <w:p w14:paraId="74C0451E" w14:textId="77777777" w:rsidR="000B4C03" w:rsidRDefault="000B4C03" w:rsidP="007C24DB">
            <w:pPr>
              <w:rPr>
                <w:rFonts w:ascii="Arial" w:hAnsi="Arial" w:cs="Arial"/>
                <w:sz w:val="24"/>
                <w:szCs w:val="24"/>
              </w:rPr>
            </w:pPr>
            <w:r w:rsidRPr="004F18ED">
              <w:rPr>
                <w:rFonts w:ascii="Arial" w:hAnsi="Arial" w:cs="Arial"/>
                <w:sz w:val="24"/>
                <w:szCs w:val="24"/>
              </w:rPr>
              <w:t>Pneumothorax</w:t>
            </w:r>
          </w:p>
        </w:tc>
        <w:tc>
          <w:tcPr>
            <w:tcW w:w="2528" w:type="dxa"/>
          </w:tcPr>
          <w:p w14:paraId="0F28786D" w14:textId="77777777" w:rsidR="000B4C03" w:rsidRDefault="000B4C03" w:rsidP="007C24DB">
            <w:pPr>
              <w:rPr>
                <w:rFonts w:ascii="Arial" w:hAnsi="Arial" w:cs="Arial"/>
                <w:sz w:val="24"/>
                <w:szCs w:val="24"/>
              </w:rPr>
            </w:pPr>
            <w:r>
              <w:rPr>
                <w:rFonts w:ascii="Arial" w:hAnsi="Arial" w:cs="Arial"/>
                <w:sz w:val="24"/>
                <w:szCs w:val="24"/>
              </w:rPr>
              <w:t xml:space="preserve">4 </w:t>
            </w:r>
            <w:r w:rsidRPr="005A0A69">
              <w:rPr>
                <w:rFonts w:ascii="Arial" w:hAnsi="Arial" w:cs="Arial"/>
                <w:sz w:val="16"/>
                <w:szCs w:val="16"/>
              </w:rPr>
              <w:t>(a)</w:t>
            </w:r>
            <w:r>
              <w:rPr>
                <w:rFonts w:ascii="Arial" w:hAnsi="Arial" w:cs="Arial"/>
                <w:sz w:val="24"/>
                <w:szCs w:val="24"/>
              </w:rPr>
              <w:t xml:space="preserve"> (50%)</w:t>
            </w:r>
          </w:p>
        </w:tc>
        <w:tc>
          <w:tcPr>
            <w:tcW w:w="2575" w:type="dxa"/>
          </w:tcPr>
          <w:p w14:paraId="1EA0B010" w14:textId="77777777" w:rsidR="000B4C03" w:rsidRDefault="000B4C03" w:rsidP="007C24DB">
            <w:pPr>
              <w:rPr>
                <w:rFonts w:ascii="Arial" w:hAnsi="Arial" w:cs="Arial"/>
                <w:sz w:val="24"/>
                <w:szCs w:val="24"/>
              </w:rPr>
            </w:pPr>
            <w:r w:rsidRPr="003C7E5B">
              <w:rPr>
                <w:rFonts w:ascii="Arial" w:hAnsi="Arial" w:cs="Arial"/>
                <w:sz w:val="24"/>
                <w:szCs w:val="24"/>
              </w:rPr>
              <w:t xml:space="preserve">8 </w:t>
            </w:r>
            <w:r w:rsidRPr="005A0A69">
              <w:rPr>
                <w:rFonts w:ascii="Arial" w:hAnsi="Arial" w:cs="Arial"/>
                <w:sz w:val="16"/>
                <w:szCs w:val="16"/>
              </w:rPr>
              <w:t xml:space="preserve">(c) </w:t>
            </w:r>
            <w:r w:rsidRPr="003C7E5B">
              <w:rPr>
                <w:rFonts w:ascii="Arial" w:hAnsi="Arial" w:cs="Arial"/>
                <w:sz w:val="24"/>
                <w:szCs w:val="24"/>
              </w:rPr>
              <w:t>(</w:t>
            </w:r>
            <w:r>
              <w:rPr>
                <w:rFonts w:ascii="Arial" w:hAnsi="Arial" w:cs="Arial"/>
                <w:sz w:val="24"/>
                <w:szCs w:val="24"/>
              </w:rPr>
              <w:t>61.5%)</w:t>
            </w:r>
          </w:p>
        </w:tc>
        <w:tc>
          <w:tcPr>
            <w:tcW w:w="1933" w:type="dxa"/>
          </w:tcPr>
          <w:p w14:paraId="158F0DB6" w14:textId="77777777" w:rsidR="000B4C03" w:rsidRDefault="000B4C03" w:rsidP="007C24DB">
            <w:pPr>
              <w:rPr>
                <w:rFonts w:ascii="Arial" w:hAnsi="Arial" w:cs="Arial"/>
                <w:sz w:val="24"/>
                <w:szCs w:val="24"/>
              </w:rPr>
            </w:pPr>
            <w:r>
              <w:rPr>
                <w:rFonts w:ascii="Arial" w:hAnsi="Arial" w:cs="Arial"/>
                <w:sz w:val="24"/>
                <w:szCs w:val="24"/>
              </w:rPr>
              <w:t>12 (57%)</w:t>
            </w:r>
          </w:p>
        </w:tc>
      </w:tr>
      <w:tr w:rsidR="000B4C03" w14:paraId="27915996" w14:textId="77777777" w:rsidTr="007C24DB">
        <w:tc>
          <w:tcPr>
            <w:tcW w:w="1980" w:type="dxa"/>
          </w:tcPr>
          <w:p w14:paraId="276EE187" w14:textId="77777777" w:rsidR="000B4C03" w:rsidRDefault="000B4C03" w:rsidP="007C24DB">
            <w:pPr>
              <w:rPr>
                <w:rFonts w:ascii="Arial" w:hAnsi="Arial" w:cs="Arial"/>
                <w:sz w:val="24"/>
                <w:szCs w:val="24"/>
              </w:rPr>
            </w:pPr>
            <w:r w:rsidRPr="004F18ED">
              <w:rPr>
                <w:rFonts w:ascii="Arial" w:hAnsi="Arial" w:cs="Arial"/>
                <w:sz w:val="24"/>
                <w:szCs w:val="24"/>
              </w:rPr>
              <w:t>Pleural effusion</w:t>
            </w:r>
          </w:p>
        </w:tc>
        <w:tc>
          <w:tcPr>
            <w:tcW w:w="2528" w:type="dxa"/>
          </w:tcPr>
          <w:p w14:paraId="63CEB602" w14:textId="77777777" w:rsidR="000B4C03" w:rsidRPr="00225733" w:rsidRDefault="000B4C03" w:rsidP="007C24DB">
            <w:pPr>
              <w:rPr>
                <w:rFonts w:ascii="Arial" w:hAnsi="Arial" w:cs="Arial"/>
                <w:sz w:val="24"/>
                <w:szCs w:val="24"/>
              </w:rPr>
            </w:pPr>
            <w:r w:rsidRPr="00225733">
              <w:rPr>
                <w:rFonts w:ascii="Arial" w:hAnsi="Arial" w:cs="Arial"/>
                <w:sz w:val="24"/>
                <w:szCs w:val="24"/>
              </w:rPr>
              <w:t>1 (12.5%)</w:t>
            </w:r>
          </w:p>
        </w:tc>
        <w:tc>
          <w:tcPr>
            <w:tcW w:w="2575" w:type="dxa"/>
          </w:tcPr>
          <w:p w14:paraId="0C294CE3" w14:textId="77777777" w:rsidR="000B4C03" w:rsidRDefault="000B4C03" w:rsidP="007C24DB">
            <w:pPr>
              <w:rPr>
                <w:rFonts w:ascii="Arial" w:hAnsi="Arial" w:cs="Arial"/>
                <w:sz w:val="24"/>
                <w:szCs w:val="24"/>
              </w:rPr>
            </w:pPr>
            <w:r>
              <w:rPr>
                <w:rFonts w:ascii="Arial" w:hAnsi="Arial" w:cs="Arial"/>
                <w:sz w:val="24"/>
                <w:szCs w:val="24"/>
              </w:rPr>
              <w:t>1 (7.6%)</w:t>
            </w:r>
          </w:p>
        </w:tc>
        <w:tc>
          <w:tcPr>
            <w:tcW w:w="1933" w:type="dxa"/>
          </w:tcPr>
          <w:p w14:paraId="277751FF" w14:textId="77777777" w:rsidR="000B4C03" w:rsidRDefault="000B4C03" w:rsidP="007C24DB">
            <w:pPr>
              <w:rPr>
                <w:rFonts w:ascii="Arial" w:hAnsi="Arial" w:cs="Arial"/>
                <w:sz w:val="24"/>
                <w:szCs w:val="24"/>
              </w:rPr>
            </w:pPr>
            <w:r>
              <w:rPr>
                <w:rFonts w:ascii="Arial" w:hAnsi="Arial" w:cs="Arial"/>
                <w:sz w:val="24"/>
                <w:szCs w:val="24"/>
              </w:rPr>
              <w:t>1 (5%)</w:t>
            </w:r>
          </w:p>
        </w:tc>
      </w:tr>
      <w:tr w:rsidR="000B4C03" w14:paraId="22CA66A3" w14:textId="77777777" w:rsidTr="007C24DB">
        <w:tc>
          <w:tcPr>
            <w:tcW w:w="1980" w:type="dxa"/>
          </w:tcPr>
          <w:p w14:paraId="0E26A0F1" w14:textId="77777777" w:rsidR="000B4C03" w:rsidRDefault="000B4C03" w:rsidP="007C24DB">
            <w:pPr>
              <w:rPr>
                <w:rFonts w:ascii="Arial" w:hAnsi="Arial" w:cs="Arial"/>
                <w:sz w:val="24"/>
                <w:szCs w:val="24"/>
              </w:rPr>
            </w:pPr>
            <w:r w:rsidRPr="004F18ED">
              <w:rPr>
                <w:rFonts w:ascii="Arial" w:hAnsi="Arial" w:cs="Arial"/>
                <w:sz w:val="24"/>
                <w:szCs w:val="24"/>
              </w:rPr>
              <w:t>Surgical emphysema</w:t>
            </w:r>
          </w:p>
        </w:tc>
        <w:tc>
          <w:tcPr>
            <w:tcW w:w="2528" w:type="dxa"/>
          </w:tcPr>
          <w:p w14:paraId="7AF90208" w14:textId="77777777" w:rsidR="000B4C03" w:rsidRPr="00225733" w:rsidRDefault="000B4C03" w:rsidP="007C24DB">
            <w:pPr>
              <w:rPr>
                <w:rFonts w:ascii="Arial" w:hAnsi="Arial" w:cs="Arial"/>
                <w:sz w:val="24"/>
                <w:szCs w:val="24"/>
              </w:rPr>
            </w:pPr>
            <w:r w:rsidRPr="00225733">
              <w:rPr>
                <w:rFonts w:ascii="Arial" w:hAnsi="Arial" w:cs="Arial"/>
                <w:sz w:val="24"/>
                <w:szCs w:val="24"/>
              </w:rPr>
              <w:t xml:space="preserve">2 </w:t>
            </w:r>
            <w:r w:rsidRPr="00225733">
              <w:rPr>
                <w:rFonts w:ascii="Arial" w:hAnsi="Arial" w:cs="Arial"/>
                <w:sz w:val="16"/>
                <w:szCs w:val="16"/>
              </w:rPr>
              <w:t>(b)</w:t>
            </w:r>
            <w:r w:rsidRPr="00225733">
              <w:rPr>
                <w:rFonts w:ascii="Arial" w:hAnsi="Arial" w:cs="Arial"/>
                <w:sz w:val="24"/>
                <w:szCs w:val="24"/>
              </w:rPr>
              <w:t xml:space="preserve"> (25%)</w:t>
            </w:r>
          </w:p>
        </w:tc>
        <w:tc>
          <w:tcPr>
            <w:tcW w:w="2575" w:type="dxa"/>
          </w:tcPr>
          <w:p w14:paraId="3DCFEDDC" w14:textId="77777777" w:rsidR="000B4C03" w:rsidRDefault="000B4C03" w:rsidP="007C24DB">
            <w:pPr>
              <w:rPr>
                <w:rFonts w:ascii="Arial" w:hAnsi="Arial" w:cs="Arial"/>
                <w:sz w:val="24"/>
                <w:szCs w:val="24"/>
              </w:rPr>
            </w:pPr>
            <w:r>
              <w:rPr>
                <w:rFonts w:ascii="Arial" w:hAnsi="Arial" w:cs="Arial"/>
                <w:sz w:val="24"/>
                <w:szCs w:val="24"/>
              </w:rPr>
              <w:t>1</w:t>
            </w:r>
            <w:r w:rsidRPr="005A0A69">
              <w:rPr>
                <w:rFonts w:ascii="Arial" w:hAnsi="Arial" w:cs="Arial"/>
                <w:sz w:val="16"/>
                <w:szCs w:val="16"/>
              </w:rPr>
              <w:t>(d)</w:t>
            </w:r>
            <w:r>
              <w:rPr>
                <w:rFonts w:ascii="Arial" w:hAnsi="Arial" w:cs="Arial"/>
                <w:sz w:val="24"/>
                <w:szCs w:val="24"/>
              </w:rPr>
              <w:t xml:space="preserve"> (7.6%)</w:t>
            </w:r>
          </w:p>
        </w:tc>
        <w:tc>
          <w:tcPr>
            <w:tcW w:w="1933" w:type="dxa"/>
          </w:tcPr>
          <w:p w14:paraId="6CE4DB9F" w14:textId="77777777" w:rsidR="000B4C03" w:rsidRDefault="000B4C03" w:rsidP="007C24DB">
            <w:pPr>
              <w:rPr>
                <w:rFonts w:ascii="Arial" w:hAnsi="Arial" w:cs="Arial"/>
                <w:sz w:val="24"/>
                <w:szCs w:val="24"/>
              </w:rPr>
            </w:pPr>
            <w:r>
              <w:rPr>
                <w:rFonts w:ascii="Arial" w:hAnsi="Arial" w:cs="Arial"/>
                <w:sz w:val="24"/>
                <w:szCs w:val="24"/>
              </w:rPr>
              <w:t>3 (14%)</w:t>
            </w:r>
          </w:p>
        </w:tc>
      </w:tr>
      <w:tr w:rsidR="000B4C03" w14:paraId="09DBC618" w14:textId="77777777" w:rsidTr="007C24DB">
        <w:tc>
          <w:tcPr>
            <w:tcW w:w="1980" w:type="dxa"/>
          </w:tcPr>
          <w:p w14:paraId="49D04911" w14:textId="77777777" w:rsidR="000B4C03" w:rsidRDefault="000B4C03" w:rsidP="007C24DB">
            <w:pPr>
              <w:rPr>
                <w:rFonts w:ascii="Arial" w:hAnsi="Arial" w:cs="Arial"/>
                <w:sz w:val="24"/>
                <w:szCs w:val="24"/>
              </w:rPr>
            </w:pPr>
            <w:r w:rsidRPr="004F18ED">
              <w:rPr>
                <w:rFonts w:ascii="Arial" w:hAnsi="Arial" w:cs="Arial"/>
                <w:sz w:val="24"/>
                <w:szCs w:val="24"/>
              </w:rPr>
              <w:t>Pneumothorax and surgical emphysema</w:t>
            </w:r>
          </w:p>
        </w:tc>
        <w:tc>
          <w:tcPr>
            <w:tcW w:w="2528" w:type="dxa"/>
          </w:tcPr>
          <w:p w14:paraId="568FE073" w14:textId="77777777" w:rsidR="000B4C03" w:rsidRDefault="000B4C03" w:rsidP="007C24DB">
            <w:pPr>
              <w:rPr>
                <w:rFonts w:ascii="Arial" w:hAnsi="Arial" w:cs="Arial"/>
                <w:sz w:val="24"/>
                <w:szCs w:val="24"/>
              </w:rPr>
            </w:pPr>
            <w:r>
              <w:rPr>
                <w:rFonts w:ascii="Arial" w:hAnsi="Arial" w:cs="Arial"/>
                <w:sz w:val="24"/>
                <w:szCs w:val="24"/>
              </w:rPr>
              <w:t>1 (12.5%)</w:t>
            </w:r>
          </w:p>
        </w:tc>
        <w:tc>
          <w:tcPr>
            <w:tcW w:w="2575" w:type="dxa"/>
          </w:tcPr>
          <w:p w14:paraId="68A27C5C" w14:textId="77777777" w:rsidR="000B4C03" w:rsidRDefault="000B4C03" w:rsidP="007C24DB">
            <w:pPr>
              <w:rPr>
                <w:rFonts w:ascii="Arial" w:hAnsi="Arial" w:cs="Arial"/>
                <w:sz w:val="24"/>
                <w:szCs w:val="24"/>
              </w:rPr>
            </w:pPr>
            <w:r>
              <w:rPr>
                <w:rFonts w:ascii="Arial" w:hAnsi="Arial" w:cs="Arial"/>
                <w:sz w:val="24"/>
                <w:szCs w:val="24"/>
              </w:rPr>
              <w:t>3 (23%)</w:t>
            </w:r>
          </w:p>
        </w:tc>
        <w:tc>
          <w:tcPr>
            <w:tcW w:w="1933" w:type="dxa"/>
          </w:tcPr>
          <w:p w14:paraId="3C89B46E" w14:textId="77777777" w:rsidR="000B4C03" w:rsidRDefault="000B4C03" w:rsidP="007C24DB">
            <w:pPr>
              <w:rPr>
                <w:rFonts w:ascii="Arial" w:hAnsi="Arial" w:cs="Arial"/>
                <w:sz w:val="24"/>
                <w:szCs w:val="24"/>
              </w:rPr>
            </w:pPr>
            <w:r>
              <w:rPr>
                <w:rFonts w:ascii="Arial" w:hAnsi="Arial" w:cs="Arial"/>
                <w:sz w:val="24"/>
                <w:szCs w:val="24"/>
              </w:rPr>
              <w:t>4 (19%)</w:t>
            </w:r>
          </w:p>
        </w:tc>
      </w:tr>
      <w:tr w:rsidR="000B4C03" w14:paraId="12126073" w14:textId="77777777" w:rsidTr="007C24DB">
        <w:tc>
          <w:tcPr>
            <w:tcW w:w="1980" w:type="dxa"/>
          </w:tcPr>
          <w:p w14:paraId="4F4B29EF" w14:textId="77777777" w:rsidR="000B4C03" w:rsidRDefault="000B4C03" w:rsidP="007C24DB">
            <w:pPr>
              <w:rPr>
                <w:rFonts w:ascii="Arial" w:hAnsi="Arial" w:cs="Arial"/>
                <w:sz w:val="24"/>
                <w:szCs w:val="24"/>
              </w:rPr>
            </w:pPr>
            <w:r w:rsidRPr="00180149">
              <w:rPr>
                <w:rFonts w:ascii="Arial" w:hAnsi="Arial" w:cs="Arial"/>
                <w:b/>
                <w:bCs/>
                <w:sz w:val="24"/>
                <w:szCs w:val="24"/>
              </w:rPr>
              <w:t>Signs and Symptoms</w:t>
            </w:r>
          </w:p>
        </w:tc>
        <w:tc>
          <w:tcPr>
            <w:tcW w:w="2528" w:type="dxa"/>
          </w:tcPr>
          <w:p w14:paraId="11949DE7" w14:textId="77777777" w:rsidR="000B4C03" w:rsidRDefault="000B4C03" w:rsidP="007C24DB">
            <w:pPr>
              <w:rPr>
                <w:rFonts w:ascii="Arial" w:hAnsi="Arial" w:cs="Arial"/>
                <w:sz w:val="24"/>
                <w:szCs w:val="24"/>
              </w:rPr>
            </w:pPr>
          </w:p>
        </w:tc>
        <w:tc>
          <w:tcPr>
            <w:tcW w:w="2575" w:type="dxa"/>
          </w:tcPr>
          <w:p w14:paraId="0D7A65DC" w14:textId="77777777" w:rsidR="000B4C03" w:rsidRDefault="000B4C03" w:rsidP="007C24DB">
            <w:pPr>
              <w:rPr>
                <w:rFonts w:ascii="Arial" w:hAnsi="Arial" w:cs="Arial"/>
                <w:sz w:val="24"/>
                <w:szCs w:val="24"/>
              </w:rPr>
            </w:pPr>
          </w:p>
        </w:tc>
        <w:tc>
          <w:tcPr>
            <w:tcW w:w="1933" w:type="dxa"/>
          </w:tcPr>
          <w:p w14:paraId="2BA27294" w14:textId="77777777" w:rsidR="000B4C03" w:rsidRDefault="000B4C03" w:rsidP="007C24DB">
            <w:pPr>
              <w:rPr>
                <w:rFonts w:ascii="Arial" w:hAnsi="Arial" w:cs="Arial"/>
                <w:sz w:val="24"/>
                <w:szCs w:val="24"/>
              </w:rPr>
            </w:pPr>
          </w:p>
        </w:tc>
      </w:tr>
      <w:tr w:rsidR="000B4C03" w14:paraId="72BD1BEC" w14:textId="77777777" w:rsidTr="007C24DB">
        <w:tc>
          <w:tcPr>
            <w:tcW w:w="1980" w:type="dxa"/>
          </w:tcPr>
          <w:p w14:paraId="660AD698" w14:textId="77777777" w:rsidR="000B4C03" w:rsidRDefault="000B4C03" w:rsidP="007C24DB">
            <w:pPr>
              <w:rPr>
                <w:rFonts w:ascii="Arial" w:hAnsi="Arial" w:cs="Arial"/>
                <w:sz w:val="24"/>
                <w:szCs w:val="24"/>
              </w:rPr>
            </w:pPr>
            <w:r>
              <w:rPr>
                <w:rFonts w:ascii="Arial" w:hAnsi="Arial" w:cs="Arial"/>
                <w:sz w:val="24"/>
                <w:szCs w:val="24"/>
              </w:rPr>
              <w:t>Dyspnoea</w:t>
            </w:r>
          </w:p>
        </w:tc>
        <w:tc>
          <w:tcPr>
            <w:tcW w:w="2528" w:type="dxa"/>
          </w:tcPr>
          <w:p w14:paraId="48D7759C" w14:textId="77777777" w:rsidR="000B4C03" w:rsidRDefault="000B4C03" w:rsidP="007C24DB">
            <w:pPr>
              <w:rPr>
                <w:rFonts w:ascii="Arial" w:hAnsi="Arial" w:cs="Arial"/>
                <w:sz w:val="24"/>
                <w:szCs w:val="24"/>
              </w:rPr>
            </w:pPr>
            <w:r>
              <w:rPr>
                <w:rFonts w:ascii="Arial" w:hAnsi="Arial" w:cs="Arial"/>
                <w:sz w:val="24"/>
                <w:szCs w:val="24"/>
              </w:rPr>
              <w:t>6 (75%)</w:t>
            </w:r>
          </w:p>
        </w:tc>
        <w:tc>
          <w:tcPr>
            <w:tcW w:w="2575" w:type="dxa"/>
          </w:tcPr>
          <w:p w14:paraId="0CC7CD33" w14:textId="77777777" w:rsidR="000B4C03" w:rsidRDefault="000B4C03" w:rsidP="007C24DB">
            <w:pPr>
              <w:rPr>
                <w:rFonts w:ascii="Arial" w:hAnsi="Arial" w:cs="Arial"/>
                <w:sz w:val="24"/>
                <w:szCs w:val="24"/>
              </w:rPr>
            </w:pPr>
            <w:r>
              <w:rPr>
                <w:rFonts w:ascii="Arial" w:hAnsi="Arial" w:cs="Arial"/>
                <w:sz w:val="24"/>
                <w:szCs w:val="24"/>
              </w:rPr>
              <w:t>8 (61.5%)</w:t>
            </w:r>
          </w:p>
        </w:tc>
        <w:tc>
          <w:tcPr>
            <w:tcW w:w="1933" w:type="dxa"/>
          </w:tcPr>
          <w:p w14:paraId="6817C3BD" w14:textId="77777777" w:rsidR="000B4C03" w:rsidRDefault="000B4C03" w:rsidP="007C24DB">
            <w:pPr>
              <w:rPr>
                <w:rFonts w:ascii="Arial" w:hAnsi="Arial" w:cs="Arial"/>
                <w:sz w:val="24"/>
                <w:szCs w:val="24"/>
              </w:rPr>
            </w:pPr>
            <w:r>
              <w:rPr>
                <w:rFonts w:ascii="Arial" w:hAnsi="Arial" w:cs="Arial"/>
                <w:sz w:val="24"/>
                <w:szCs w:val="24"/>
              </w:rPr>
              <w:t>14 (67%)</w:t>
            </w:r>
          </w:p>
        </w:tc>
      </w:tr>
      <w:tr w:rsidR="000B4C03" w14:paraId="78237D01" w14:textId="77777777" w:rsidTr="007C24DB">
        <w:tc>
          <w:tcPr>
            <w:tcW w:w="1980" w:type="dxa"/>
          </w:tcPr>
          <w:p w14:paraId="5BE52D03" w14:textId="77777777" w:rsidR="000B4C03" w:rsidRDefault="000B4C03" w:rsidP="007C24DB">
            <w:pPr>
              <w:rPr>
                <w:rFonts w:ascii="Arial" w:hAnsi="Arial" w:cs="Arial"/>
                <w:sz w:val="24"/>
                <w:szCs w:val="24"/>
              </w:rPr>
            </w:pPr>
            <w:r>
              <w:rPr>
                <w:rFonts w:ascii="Arial" w:hAnsi="Arial" w:cs="Arial"/>
                <w:sz w:val="24"/>
                <w:szCs w:val="24"/>
              </w:rPr>
              <w:t>Tachypnoea</w:t>
            </w:r>
          </w:p>
        </w:tc>
        <w:tc>
          <w:tcPr>
            <w:tcW w:w="2528" w:type="dxa"/>
          </w:tcPr>
          <w:p w14:paraId="01FCA4BC" w14:textId="77777777" w:rsidR="000B4C03" w:rsidRDefault="000B4C03" w:rsidP="007C24DB">
            <w:pPr>
              <w:rPr>
                <w:rFonts w:ascii="Arial" w:hAnsi="Arial" w:cs="Arial"/>
                <w:sz w:val="24"/>
                <w:szCs w:val="24"/>
              </w:rPr>
            </w:pPr>
            <w:r>
              <w:rPr>
                <w:rFonts w:ascii="Arial" w:hAnsi="Arial" w:cs="Arial"/>
                <w:sz w:val="24"/>
                <w:szCs w:val="24"/>
              </w:rPr>
              <w:t>4 (25%)</w:t>
            </w:r>
          </w:p>
        </w:tc>
        <w:tc>
          <w:tcPr>
            <w:tcW w:w="2575" w:type="dxa"/>
          </w:tcPr>
          <w:p w14:paraId="54486F33" w14:textId="77777777" w:rsidR="000B4C03" w:rsidRDefault="000B4C03" w:rsidP="007C24DB">
            <w:pPr>
              <w:rPr>
                <w:rFonts w:ascii="Arial" w:hAnsi="Arial" w:cs="Arial"/>
                <w:sz w:val="24"/>
                <w:szCs w:val="24"/>
              </w:rPr>
            </w:pPr>
            <w:r>
              <w:rPr>
                <w:rFonts w:ascii="Arial" w:hAnsi="Arial" w:cs="Arial"/>
                <w:sz w:val="24"/>
                <w:szCs w:val="24"/>
              </w:rPr>
              <w:t>6 (46.1%)</w:t>
            </w:r>
          </w:p>
        </w:tc>
        <w:tc>
          <w:tcPr>
            <w:tcW w:w="1933" w:type="dxa"/>
          </w:tcPr>
          <w:p w14:paraId="79DEEC7D" w14:textId="77777777" w:rsidR="000B4C03" w:rsidRDefault="000B4C03" w:rsidP="007C24DB">
            <w:pPr>
              <w:rPr>
                <w:rFonts w:ascii="Arial" w:hAnsi="Arial" w:cs="Arial"/>
                <w:sz w:val="24"/>
                <w:szCs w:val="24"/>
              </w:rPr>
            </w:pPr>
            <w:r>
              <w:rPr>
                <w:rFonts w:ascii="Arial" w:hAnsi="Arial" w:cs="Arial"/>
                <w:sz w:val="24"/>
                <w:szCs w:val="24"/>
              </w:rPr>
              <w:t>10 (48%)</w:t>
            </w:r>
          </w:p>
        </w:tc>
      </w:tr>
      <w:tr w:rsidR="000B4C03" w14:paraId="326EF630" w14:textId="77777777" w:rsidTr="007C24DB">
        <w:tc>
          <w:tcPr>
            <w:tcW w:w="1980" w:type="dxa"/>
          </w:tcPr>
          <w:p w14:paraId="047F8A79" w14:textId="77777777" w:rsidR="000B4C03" w:rsidRDefault="000B4C03" w:rsidP="007C24DB">
            <w:pPr>
              <w:rPr>
                <w:rFonts w:ascii="Arial" w:hAnsi="Arial" w:cs="Arial"/>
                <w:sz w:val="24"/>
                <w:szCs w:val="24"/>
              </w:rPr>
            </w:pPr>
            <w:r>
              <w:rPr>
                <w:rFonts w:ascii="Arial" w:hAnsi="Arial" w:cs="Arial"/>
                <w:sz w:val="24"/>
                <w:szCs w:val="24"/>
              </w:rPr>
              <w:t>Low O2 Saturation</w:t>
            </w:r>
          </w:p>
        </w:tc>
        <w:tc>
          <w:tcPr>
            <w:tcW w:w="2528" w:type="dxa"/>
          </w:tcPr>
          <w:p w14:paraId="2BF00838" w14:textId="77777777" w:rsidR="000B4C03" w:rsidRDefault="000B4C03" w:rsidP="007C24DB">
            <w:pPr>
              <w:rPr>
                <w:rFonts w:ascii="Arial" w:hAnsi="Arial" w:cs="Arial"/>
                <w:sz w:val="24"/>
                <w:szCs w:val="24"/>
              </w:rPr>
            </w:pPr>
            <w:r>
              <w:rPr>
                <w:rFonts w:ascii="Arial" w:hAnsi="Arial" w:cs="Arial"/>
                <w:sz w:val="24"/>
                <w:szCs w:val="24"/>
              </w:rPr>
              <w:t xml:space="preserve"> 6 (75%)</w:t>
            </w:r>
          </w:p>
        </w:tc>
        <w:tc>
          <w:tcPr>
            <w:tcW w:w="2575" w:type="dxa"/>
          </w:tcPr>
          <w:p w14:paraId="32781207" w14:textId="77777777" w:rsidR="000B4C03" w:rsidRDefault="000B4C03" w:rsidP="007C24DB">
            <w:pPr>
              <w:rPr>
                <w:rFonts w:ascii="Arial" w:hAnsi="Arial" w:cs="Arial"/>
                <w:sz w:val="24"/>
                <w:szCs w:val="24"/>
              </w:rPr>
            </w:pPr>
            <w:r>
              <w:rPr>
                <w:rFonts w:ascii="Arial" w:hAnsi="Arial" w:cs="Arial"/>
                <w:sz w:val="24"/>
                <w:szCs w:val="24"/>
              </w:rPr>
              <w:t>9 (69%)</w:t>
            </w:r>
          </w:p>
        </w:tc>
        <w:tc>
          <w:tcPr>
            <w:tcW w:w="1933" w:type="dxa"/>
          </w:tcPr>
          <w:p w14:paraId="43586D89" w14:textId="77777777" w:rsidR="000B4C03" w:rsidRDefault="000B4C03" w:rsidP="007C24DB">
            <w:pPr>
              <w:rPr>
                <w:rFonts w:ascii="Arial" w:hAnsi="Arial" w:cs="Arial"/>
                <w:sz w:val="24"/>
                <w:szCs w:val="24"/>
              </w:rPr>
            </w:pPr>
            <w:r>
              <w:rPr>
                <w:rFonts w:ascii="Arial" w:hAnsi="Arial" w:cs="Arial"/>
                <w:sz w:val="24"/>
                <w:szCs w:val="24"/>
              </w:rPr>
              <w:t>15 (71%)</w:t>
            </w:r>
          </w:p>
        </w:tc>
      </w:tr>
      <w:tr w:rsidR="000B4C03" w14:paraId="509DFBD1" w14:textId="77777777" w:rsidTr="007C24DB">
        <w:tc>
          <w:tcPr>
            <w:tcW w:w="1980" w:type="dxa"/>
          </w:tcPr>
          <w:p w14:paraId="65E76BF9" w14:textId="77777777" w:rsidR="000B4C03" w:rsidRDefault="000B4C03" w:rsidP="007C24DB">
            <w:pPr>
              <w:rPr>
                <w:rFonts w:ascii="Arial" w:hAnsi="Arial" w:cs="Arial"/>
                <w:sz w:val="24"/>
                <w:szCs w:val="24"/>
              </w:rPr>
            </w:pPr>
            <w:r>
              <w:rPr>
                <w:rFonts w:ascii="Arial" w:hAnsi="Arial" w:cs="Arial"/>
                <w:sz w:val="24"/>
                <w:szCs w:val="24"/>
              </w:rPr>
              <w:t>Haemodynamic instability</w:t>
            </w:r>
          </w:p>
        </w:tc>
        <w:tc>
          <w:tcPr>
            <w:tcW w:w="2528" w:type="dxa"/>
          </w:tcPr>
          <w:p w14:paraId="7A2615CE" w14:textId="77777777" w:rsidR="000B4C03" w:rsidRDefault="000B4C03" w:rsidP="007C24DB">
            <w:pPr>
              <w:rPr>
                <w:rFonts w:ascii="Arial" w:hAnsi="Arial" w:cs="Arial"/>
                <w:sz w:val="24"/>
                <w:szCs w:val="24"/>
              </w:rPr>
            </w:pPr>
            <w:r>
              <w:rPr>
                <w:rFonts w:ascii="Arial" w:hAnsi="Arial" w:cs="Arial"/>
                <w:sz w:val="24"/>
                <w:szCs w:val="24"/>
              </w:rPr>
              <w:t>2 (25%)</w:t>
            </w:r>
          </w:p>
        </w:tc>
        <w:tc>
          <w:tcPr>
            <w:tcW w:w="2575" w:type="dxa"/>
          </w:tcPr>
          <w:p w14:paraId="221F84B0" w14:textId="77777777" w:rsidR="000B4C03" w:rsidRDefault="000B4C03" w:rsidP="007C24DB">
            <w:pPr>
              <w:rPr>
                <w:rFonts w:ascii="Arial" w:hAnsi="Arial" w:cs="Arial"/>
                <w:sz w:val="24"/>
                <w:szCs w:val="24"/>
              </w:rPr>
            </w:pPr>
            <w:r>
              <w:rPr>
                <w:rFonts w:ascii="Arial" w:hAnsi="Arial" w:cs="Arial"/>
                <w:sz w:val="24"/>
                <w:szCs w:val="24"/>
              </w:rPr>
              <w:t>3 (23%)</w:t>
            </w:r>
          </w:p>
        </w:tc>
        <w:tc>
          <w:tcPr>
            <w:tcW w:w="1933" w:type="dxa"/>
          </w:tcPr>
          <w:p w14:paraId="2E32095D" w14:textId="77777777" w:rsidR="000B4C03" w:rsidRDefault="000B4C03" w:rsidP="007C24DB">
            <w:pPr>
              <w:rPr>
                <w:rFonts w:ascii="Arial" w:hAnsi="Arial" w:cs="Arial"/>
                <w:sz w:val="24"/>
                <w:szCs w:val="24"/>
              </w:rPr>
            </w:pPr>
            <w:r>
              <w:rPr>
                <w:rFonts w:ascii="Arial" w:hAnsi="Arial" w:cs="Arial"/>
                <w:sz w:val="24"/>
                <w:szCs w:val="24"/>
              </w:rPr>
              <w:t>5 (24%)</w:t>
            </w:r>
          </w:p>
        </w:tc>
      </w:tr>
      <w:tr w:rsidR="000B4C03" w14:paraId="26E9659D" w14:textId="77777777" w:rsidTr="007C24DB">
        <w:tc>
          <w:tcPr>
            <w:tcW w:w="1980" w:type="dxa"/>
          </w:tcPr>
          <w:p w14:paraId="57D26242" w14:textId="77777777" w:rsidR="000B4C03" w:rsidRDefault="000B4C03" w:rsidP="007C24DB">
            <w:pPr>
              <w:rPr>
                <w:rFonts w:ascii="Arial" w:hAnsi="Arial" w:cs="Arial"/>
                <w:sz w:val="24"/>
                <w:szCs w:val="24"/>
              </w:rPr>
            </w:pPr>
            <w:r>
              <w:rPr>
                <w:rFonts w:ascii="Arial" w:hAnsi="Arial" w:cs="Arial"/>
                <w:sz w:val="24"/>
                <w:szCs w:val="24"/>
              </w:rPr>
              <w:t>Reduced pulmonary sounds</w:t>
            </w:r>
          </w:p>
        </w:tc>
        <w:tc>
          <w:tcPr>
            <w:tcW w:w="2528" w:type="dxa"/>
          </w:tcPr>
          <w:p w14:paraId="3D1055F1" w14:textId="77777777" w:rsidR="000B4C03" w:rsidRDefault="000B4C03" w:rsidP="007C24DB">
            <w:pPr>
              <w:rPr>
                <w:rFonts w:ascii="Arial" w:hAnsi="Arial" w:cs="Arial"/>
                <w:sz w:val="24"/>
                <w:szCs w:val="24"/>
              </w:rPr>
            </w:pPr>
            <w:r>
              <w:rPr>
                <w:rFonts w:ascii="Arial" w:hAnsi="Arial" w:cs="Arial"/>
                <w:sz w:val="24"/>
                <w:szCs w:val="24"/>
              </w:rPr>
              <w:t>6 (75%)</w:t>
            </w:r>
          </w:p>
        </w:tc>
        <w:tc>
          <w:tcPr>
            <w:tcW w:w="2575" w:type="dxa"/>
          </w:tcPr>
          <w:p w14:paraId="36BDE1D5" w14:textId="77777777" w:rsidR="000B4C03" w:rsidRDefault="000B4C03" w:rsidP="007C24DB">
            <w:pPr>
              <w:rPr>
                <w:rFonts w:ascii="Arial" w:hAnsi="Arial" w:cs="Arial"/>
                <w:sz w:val="24"/>
                <w:szCs w:val="24"/>
              </w:rPr>
            </w:pPr>
            <w:r>
              <w:rPr>
                <w:rFonts w:ascii="Arial" w:hAnsi="Arial" w:cs="Arial"/>
                <w:sz w:val="24"/>
                <w:szCs w:val="24"/>
              </w:rPr>
              <w:t>11 (84.6%)</w:t>
            </w:r>
          </w:p>
        </w:tc>
        <w:tc>
          <w:tcPr>
            <w:tcW w:w="1933" w:type="dxa"/>
          </w:tcPr>
          <w:p w14:paraId="2D8D75B5" w14:textId="77777777" w:rsidR="000B4C03" w:rsidRDefault="000B4C03" w:rsidP="007C24DB">
            <w:pPr>
              <w:rPr>
                <w:rFonts w:ascii="Arial" w:hAnsi="Arial" w:cs="Arial"/>
                <w:sz w:val="24"/>
                <w:szCs w:val="24"/>
              </w:rPr>
            </w:pPr>
            <w:r>
              <w:rPr>
                <w:rFonts w:ascii="Arial" w:hAnsi="Arial" w:cs="Arial"/>
                <w:sz w:val="24"/>
                <w:szCs w:val="24"/>
              </w:rPr>
              <w:t>17 (81%)</w:t>
            </w:r>
          </w:p>
        </w:tc>
      </w:tr>
    </w:tbl>
    <w:p w14:paraId="62EC0F1A" w14:textId="77777777" w:rsidR="000B4C03" w:rsidRPr="00267558" w:rsidRDefault="000B4C03" w:rsidP="000B4C03">
      <w:pPr>
        <w:rPr>
          <w:rFonts w:ascii="Arial" w:hAnsi="Arial" w:cs="Arial"/>
          <w:sz w:val="24"/>
          <w:szCs w:val="24"/>
        </w:rPr>
      </w:pPr>
    </w:p>
    <w:p w14:paraId="150C34D6" w14:textId="77777777" w:rsidR="000B4C03" w:rsidRPr="00CC35BE" w:rsidRDefault="000B4C03" w:rsidP="000B4C03">
      <w:pPr>
        <w:rPr>
          <w:rFonts w:ascii="Arial" w:hAnsi="Arial" w:cs="Arial"/>
          <w:sz w:val="18"/>
          <w:szCs w:val="18"/>
        </w:rPr>
      </w:pPr>
      <w:r w:rsidRPr="00CC35BE">
        <w:rPr>
          <w:rFonts w:ascii="Arial" w:hAnsi="Arial" w:cs="Arial"/>
          <w:sz w:val="18"/>
          <w:szCs w:val="18"/>
        </w:rPr>
        <w:t xml:space="preserve">a. One of the patients developed dyspnoea 5 days post chest drain removal. CXR demonstrated pneumothorax. Chest drain was reinserted. </w:t>
      </w:r>
    </w:p>
    <w:p w14:paraId="1053A7CC" w14:textId="77777777" w:rsidR="000B4C03" w:rsidRPr="00CC35BE" w:rsidRDefault="000B4C03" w:rsidP="000B4C03">
      <w:pPr>
        <w:rPr>
          <w:rFonts w:ascii="Arial" w:hAnsi="Arial" w:cs="Arial"/>
          <w:sz w:val="18"/>
          <w:szCs w:val="18"/>
        </w:rPr>
      </w:pPr>
      <w:r w:rsidRPr="00CC35BE">
        <w:rPr>
          <w:rFonts w:ascii="Arial" w:hAnsi="Arial" w:cs="Arial"/>
          <w:sz w:val="18"/>
          <w:szCs w:val="18"/>
        </w:rPr>
        <w:t xml:space="preserve">b. One of the patients was discharged 4 hours post chest drain removal, and he was readmitted 2 days later with surgical emphysema, a chest drain was reinserted. </w:t>
      </w:r>
    </w:p>
    <w:p w14:paraId="7458FD78" w14:textId="77777777" w:rsidR="000B4C03" w:rsidRPr="00CC35BE" w:rsidRDefault="000B4C03" w:rsidP="000B4C03">
      <w:pPr>
        <w:rPr>
          <w:rFonts w:ascii="Arial" w:hAnsi="Arial" w:cs="Arial"/>
          <w:sz w:val="18"/>
          <w:szCs w:val="18"/>
        </w:rPr>
      </w:pPr>
      <w:r w:rsidRPr="00CC35BE">
        <w:rPr>
          <w:rFonts w:ascii="Arial" w:hAnsi="Arial" w:cs="Arial"/>
          <w:sz w:val="18"/>
          <w:szCs w:val="18"/>
        </w:rPr>
        <w:t xml:space="preserve">c. One of </w:t>
      </w:r>
      <w:r w:rsidRPr="00225733">
        <w:rPr>
          <w:rFonts w:ascii="Arial" w:hAnsi="Arial" w:cs="Arial"/>
          <w:sz w:val="18"/>
          <w:szCs w:val="18"/>
        </w:rPr>
        <w:t>the patients</w:t>
      </w:r>
      <w:r w:rsidRPr="00CC35BE">
        <w:rPr>
          <w:rFonts w:ascii="Arial" w:hAnsi="Arial" w:cs="Arial"/>
          <w:sz w:val="18"/>
          <w:szCs w:val="18"/>
        </w:rPr>
        <w:t xml:space="preserve"> developed dyspnoea and low O2 saturation 2 days post the chest drain removal, and one of them developed same symptoms 5 days foll</w:t>
      </w:r>
      <w:r>
        <w:rPr>
          <w:rFonts w:ascii="Arial" w:hAnsi="Arial" w:cs="Arial"/>
          <w:sz w:val="18"/>
          <w:szCs w:val="18"/>
        </w:rPr>
        <w:t xml:space="preserve">owing the chest drain removal. </w:t>
      </w:r>
      <w:r w:rsidRPr="00225733">
        <w:rPr>
          <w:rFonts w:ascii="Arial" w:hAnsi="Arial" w:cs="Arial"/>
          <w:sz w:val="18"/>
          <w:szCs w:val="18"/>
        </w:rPr>
        <w:t>Both</w:t>
      </w:r>
      <w:r w:rsidRPr="00CC35BE">
        <w:rPr>
          <w:rFonts w:ascii="Arial" w:hAnsi="Arial" w:cs="Arial"/>
          <w:sz w:val="18"/>
          <w:szCs w:val="18"/>
        </w:rPr>
        <w:t xml:space="preserve"> had repeated CXR after the development of their symptoms, which showed </w:t>
      </w:r>
      <w:r w:rsidRPr="00225733">
        <w:rPr>
          <w:rFonts w:ascii="Arial" w:hAnsi="Arial" w:cs="Arial"/>
          <w:sz w:val="18"/>
          <w:szCs w:val="18"/>
        </w:rPr>
        <w:t xml:space="preserve">pneumothorax had worsened compared </w:t>
      </w:r>
      <w:r w:rsidRPr="00146CAE">
        <w:rPr>
          <w:rFonts w:ascii="Arial" w:hAnsi="Arial" w:cs="Arial"/>
          <w:sz w:val="18"/>
          <w:szCs w:val="18"/>
        </w:rPr>
        <w:t>to</w:t>
      </w:r>
      <w:r w:rsidRPr="00CC35BE">
        <w:rPr>
          <w:rFonts w:ascii="Arial" w:hAnsi="Arial" w:cs="Arial"/>
          <w:sz w:val="18"/>
          <w:szCs w:val="18"/>
        </w:rPr>
        <w:t xml:space="preserve"> the previous ones. Both</w:t>
      </w:r>
      <w:r w:rsidRPr="00225733">
        <w:rPr>
          <w:rFonts w:ascii="Arial" w:hAnsi="Arial" w:cs="Arial"/>
          <w:sz w:val="18"/>
          <w:szCs w:val="18"/>
        </w:rPr>
        <w:t xml:space="preserve"> had a chest</w:t>
      </w:r>
      <w:r w:rsidRPr="00CC35BE">
        <w:rPr>
          <w:rFonts w:ascii="Arial" w:hAnsi="Arial" w:cs="Arial"/>
          <w:sz w:val="18"/>
          <w:szCs w:val="18"/>
        </w:rPr>
        <w:t xml:space="preserve"> drain reinserted. </w:t>
      </w:r>
    </w:p>
    <w:p w14:paraId="1500E5EC" w14:textId="77777777" w:rsidR="000B4C03" w:rsidRPr="00CC35BE" w:rsidRDefault="000B4C03" w:rsidP="000B4C03">
      <w:pPr>
        <w:rPr>
          <w:rFonts w:ascii="Arial" w:hAnsi="Arial" w:cs="Arial"/>
          <w:sz w:val="18"/>
          <w:szCs w:val="18"/>
        </w:rPr>
      </w:pPr>
      <w:r w:rsidRPr="00CC35BE">
        <w:rPr>
          <w:rFonts w:ascii="Arial" w:hAnsi="Arial" w:cs="Arial"/>
          <w:sz w:val="18"/>
          <w:szCs w:val="18"/>
        </w:rPr>
        <w:t>d. The patient developed the sympt</w:t>
      </w:r>
      <w:r w:rsidRPr="00225733">
        <w:rPr>
          <w:rFonts w:ascii="Arial" w:hAnsi="Arial" w:cs="Arial"/>
          <w:sz w:val="18"/>
          <w:szCs w:val="18"/>
        </w:rPr>
        <w:t>oms</w:t>
      </w:r>
      <w:r w:rsidRPr="00CC35BE">
        <w:rPr>
          <w:rFonts w:ascii="Arial" w:hAnsi="Arial" w:cs="Arial"/>
          <w:sz w:val="18"/>
          <w:szCs w:val="18"/>
        </w:rPr>
        <w:t xml:space="preserve"> 2 days post chest drain removal and a chest drain was reinserted. </w:t>
      </w:r>
    </w:p>
    <w:p w14:paraId="5E8155FD" w14:textId="77777777" w:rsidR="004C007A" w:rsidRDefault="004C007A" w:rsidP="004856A3">
      <w:pPr>
        <w:spacing w:line="276" w:lineRule="auto"/>
        <w:rPr>
          <w:rFonts w:ascii="Arial" w:eastAsia="Times New Roman" w:hAnsi="Arial" w:cs="Arial"/>
          <w:bCs/>
          <w:color w:val="000000" w:themeColor="text1"/>
          <w:sz w:val="24"/>
          <w:szCs w:val="24"/>
        </w:rPr>
      </w:pPr>
    </w:p>
    <w:p w14:paraId="22CCC126" w14:textId="77777777" w:rsidR="009942AB" w:rsidRDefault="009942AB" w:rsidP="009942AB">
      <w:pPr>
        <w:spacing w:line="360" w:lineRule="auto"/>
        <w:jc w:val="both"/>
        <w:rPr>
          <w:rFonts w:ascii="Arial" w:hAnsi="Arial" w:cs="Arial"/>
          <w:b/>
          <w:bCs/>
          <w:color w:val="111111"/>
          <w:sz w:val="32"/>
          <w:szCs w:val="32"/>
          <w:u w:val="single"/>
          <w:shd w:val="clear" w:color="auto" w:fill="FFFFFF"/>
        </w:rPr>
      </w:pPr>
    </w:p>
    <w:p w14:paraId="241A9A69" w14:textId="77777777" w:rsidR="009942AB" w:rsidRDefault="009942AB" w:rsidP="009942AB">
      <w:pPr>
        <w:spacing w:line="360" w:lineRule="auto"/>
        <w:jc w:val="both"/>
        <w:rPr>
          <w:rFonts w:ascii="Arial" w:hAnsi="Arial" w:cs="Arial"/>
          <w:b/>
          <w:bCs/>
          <w:color w:val="111111"/>
          <w:sz w:val="32"/>
          <w:szCs w:val="32"/>
          <w:u w:val="single"/>
          <w:shd w:val="clear" w:color="auto" w:fill="FFFFFF"/>
        </w:rPr>
      </w:pPr>
    </w:p>
    <w:p w14:paraId="2BA26C30" w14:textId="77777777" w:rsidR="009942AB" w:rsidRDefault="009942AB" w:rsidP="009942AB">
      <w:pPr>
        <w:spacing w:line="360" w:lineRule="auto"/>
        <w:jc w:val="both"/>
        <w:rPr>
          <w:rFonts w:ascii="Arial" w:hAnsi="Arial" w:cs="Arial"/>
          <w:b/>
          <w:bCs/>
          <w:color w:val="111111"/>
          <w:sz w:val="32"/>
          <w:szCs w:val="32"/>
          <w:u w:val="single"/>
          <w:shd w:val="clear" w:color="auto" w:fill="FFFFFF"/>
        </w:rPr>
      </w:pPr>
    </w:p>
    <w:p w14:paraId="111D3034" w14:textId="77777777" w:rsidR="009942AB" w:rsidRDefault="009942AB" w:rsidP="009942AB">
      <w:pPr>
        <w:spacing w:line="360" w:lineRule="auto"/>
        <w:jc w:val="both"/>
        <w:rPr>
          <w:rFonts w:ascii="Arial" w:hAnsi="Arial" w:cs="Arial"/>
          <w:b/>
          <w:bCs/>
          <w:color w:val="111111"/>
          <w:sz w:val="32"/>
          <w:szCs w:val="32"/>
          <w:u w:val="single"/>
          <w:shd w:val="clear" w:color="auto" w:fill="FFFFFF"/>
        </w:rPr>
      </w:pPr>
    </w:p>
    <w:p w14:paraId="27CEE84D" w14:textId="77777777" w:rsidR="009942AB" w:rsidRPr="00492D77" w:rsidRDefault="009942AB" w:rsidP="009942AB">
      <w:pPr>
        <w:spacing w:line="360" w:lineRule="auto"/>
        <w:jc w:val="both"/>
        <w:rPr>
          <w:rFonts w:ascii="Arial" w:hAnsi="Arial" w:cs="Arial"/>
          <w:b/>
          <w:bCs/>
          <w:color w:val="111111"/>
          <w:sz w:val="32"/>
          <w:szCs w:val="32"/>
          <w:u w:val="single"/>
          <w:shd w:val="clear" w:color="auto" w:fill="FFFFFF"/>
        </w:rPr>
      </w:pPr>
      <w:r w:rsidRPr="00492D77">
        <w:rPr>
          <w:rFonts w:ascii="Arial" w:hAnsi="Arial" w:cs="Arial"/>
          <w:b/>
          <w:bCs/>
          <w:color w:val="111111"/>
          <w:sz w:val="32"/>
          <w:szCs w:val="32"/>
          <w:u w:val="single"/>
          <w:shd w:val="clear" w:color="auto" w:fill="FFFFFF"/>
        </w:rPr>
        <w:t>Reference:</w:t>
      </w:r>
    </w:p>
    <w:p w14:paraId="47B2884C" w14:textId="77777777" w:rsidR="009942AB" w:rsidRDefault="009942AB" w:rsidP="009942AB">
      <w:pPr>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Palesty</w:t>
      </w:r>
      <w:proofErr w:type="spellEnd"/>
      <w:r>
        <w:rPr>
          <w:rFonts w:ascii="Arial" w:hAnsi="Arial" w:cs="Arial"/>
          <w:sz w:val="24"/>
          <w:szCs w:val="24"/>
        </w:rPr>
        <w:t xml:space="preserve"> JA, McKelvey AA, </w:t>
      </w:r>
      <w:proofErr w:type="spellStart"/>
      <w:r>
        <w:rPr>
          <w:rFonts w:ascii="Arial" w:hAnsi="Arial" w:cs="Arial"/>
          <w:sz w:val="24"/>
          <w:szCs w:val="24"/>
        </w:rPr>
        <w:t>Dudrick</w:t>
      </w:r>
      <w:proofErr w:type="spellEnd"/>
      <w:r>
        <w:rPr>
          <w:rFonts w:ascii="Arial" w:hAnsi="Arial" w:cs="Arial"/>
          <w:sz w:val="24"/>
          <w:szCs w:val="24"/>
        </w:rPr>
        <w:t xml:space="preserve"> SJ. The efficacy of X-ray after chest tube removal. Am J </w:t>
      </w:r>
      <w:proofErr w:type="spellStart"/>
      <w:r>
        <w:rPr>
          <w:rFonts w:ascii="Arial" w:hAnsi="Arial" w:cs="Arial"/>
          <w:sz w:val="24"/>
          <w:szCs w:val="24"/>
        </w:rPr>
        <w:t>Surg</w:t>
      </w:r>
      <w:proofErr w:type="spellEnd"/>
      <w:r>
        <w:rPr>
          <w:rFonts w:ascii="Arial" w:hAnsi="Arial" w:cs="Arial"/>
          <w:sz w:val="24"/>
          <w:szCs w:val="24"/>
        </w:rPr>
        <w:t xml:space="preserve"> 2000;179:13-16.</w:t>
      </w:r>
    </w:p>
    <w:p w14:paraId="27239989" w14:textId="77777777" w:rsidR="009942AB" w:rsidRDefault="009942AB" w:rsidP="009942AB">
      <w:pPr>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Pacanowski</w:t>
      </w:r>
      <w:proofErr w:type="spellEnd"/>
      <w:r>
        <w:rPr>
          <w:rFonts w:ascii="Arial" w:hAnsi="Arial" w:cs="Arial"/>
          <w:sz w:val="24"/>
          <w:szCs w:val="24"/>
        </w:rPr>
        <w:t xml:space="preserve"> JP, </w:t>
      </w:r>
      <w:proofErr w:type="spellStart"/>
      <w:r>
        <w:rPr>
          <w:rFonts w:ascii="Arial" w:hAnsi="Arial" w:cs="Arial"/>
          <w:sz w:val="24"/>
          <w:szCs w:val="24"/>
        </w:rPr>
        <w:t>Waack</w:t>
      </w:r>
      <w:proofErr w:type="spellEnd"/>
      <w:r>
        <w:rPr>
          <w:rFonts w:ascii="Arial" w:hAnsi="Arial" w:cs="Arial"/>
          <w:sz w:val="24"/>
          <w:szCs w:val="24"/>
        </w:rPr>
        <w:t xml:space="preserve"> ML, Daley BJ, Hunter KS, Clinton R, Diamond DL, </w:t>
      </w:r>
      <w:proofErr w:type="spellStart"/>
      <w:r>
        <w:rPr>
          <w:rFonts w:ascii="Arial" w:hAnsi="Arial" w:cs="Arial"/>
          <w:sz w:val="24"/>
          <w:szCs w:val="24"/>
        </w:rPr>
        <w:t>Enderson</w:t>
      </w:r>
      <w:proofErr w:type="spellEnd"/>
      <w:r>
        <w:rPr>
          <w:rFonts w:ascii="Arial" w:hAnsi="Arial" w:cs="Arial"/>
          <w:sz w:val="24"/>
          <w:szCs w:val="24"/>
        </w:rPr>
        <w:t xml:space="preserve"> BL. Is routine roentgenography needed after closed tube thoracostomy removal? J </w:t>
      </w:r>
      <w:proofErr w:type="spellStart"/>
      <w:r>
        <w:rPr>
          <w:rFonts w:ascii="Arial" w:hAnsi="Arial" w:cs="Arial"/>
          <w:sz w:val="24"/>
          <w:szCs w:val="24"/>
        </w:rPr>
        <w:t>Trama</w:t>
      </w:r>
      <w:proofErr w:type="spellEnd"/>
      <w:r>
        <w:rPr>
          <w:rFonts w:ascii="Arial" w:hAnsi="Arial" w:cs="Arial"/>
          <w:sz w:val="24"/>
          <w:szCs w:val="24"/>
        </w:rPr>
        <w:t xml:space="preserve"> 2000;48:684-688.</w:t>
      </w:r>
    </w:p>
    <w:p w14:paraId="1BC5F304" w14:textId="77777777" w:rsidR="009942AB" w:rsidRDefault="009942AB" w:rsidP="009942AB">
      <w:pPr>
        <w:rPr>
          <w:rFonts w:ascii="Arial" w:hAnsi="Arial" w:cs="Arial"/>
          <w:sz w:val="24"/>
          <w:szCs w:val="24"/>
        </w:rPr>
      </w:pPr>
      <w:r>
        <w:rPr>
          <w:rFonts w:ascii="Arial" w:hAnsi="Arial" w:cs="Arial"/>
          <w:sz w:val="24"/>
          <w:szCs w:val="24"/>
        </w:rPr>
        <w:t xml:space="preserve">[3] Whitehouse MR, Patel A, Morgan JA. The necessity of routine post-thoracotomy tube chest radiographs in post-operative thoracic surgery patients. </w:t>
      </w:r>
      <w:r w:rsidRPr="00866D4F">
        <w:rPr>
          <w:rFonts w:ascii="Arial" w:hAnsi="Arial" w:cs="Arial"/>
          <w:iCs/>
          <w:sz w:val="24"/>
          <w:szCs w:val="24"/>
        </w:rPr>
        <w:t>Surgeon</w:t>
      </w:r>
      <w:r>
        <w:rPr>
          <w:rFonts w:ascii="Arial" w:hAnsi="Arial" w:cs="Arial"/>
          <w:sz w:val="24"/>
          <w:szCs w:val="24"/>
        </w:rPr>
        <w:t xml:space="preserve"> 2009;7:79-81.</w:t>
      </w:r>
    </w:p>
    <w:p w14:paraId="1408968E" w14:textId="77777777" w:rsidR="009942AB" w:rsidRDefault="009942AB" w:rsidP="009942AB">
      <w:pPr>
        <w:shd w:val="clear" w:color="auto" w:fill="FFFFFF"/>
        <w:spacing w:after="0" w:line="240" w:lineRule="auto"/>
        <w:rPr>
          <w:rFonts w:ascii="Arial" w:hAnsi="Arial" w:cs="Arial"/>
          <w:sz w:val="24"/>
          <w:szCs w:val="24"/>
        </w:rPr>
      </w:pPr>
      <w:r>
        <w:rPr>
          <w:rFonts w:ascii="Arial" w:hAnsi="Arial" w:cs="Arial"/>
          <w:sz w:val="24"/>
          <w:szCs w:val="24"/>
        </w:rPr>
        <w:t xml:space="preserve">[4] Goodman MD, Huber NL, </w:t>
      </w:r>
      <w:proofErr w:type="spellStart"/>
      <w:r>
        <w:rPr>
          <w:rFonts w:ascii="Arial" w:hAnsi="Arial" w:cs="Arial"/>
          <w:sz w:val="24"/>
          <w:szCs w:val="24"/>
        </w:rPr>
        <w:t>Johannigman</w:t>
      </w:r>
      <w:proofErr w:type="spellEnd"/>
      <w:r>
        <w:rPr>
          <w:rFonts w:ascii="Arial" w:hAnsi="Arial" w:cs="Arial"/>
          <w:sz w:val="24"/>
          <w:szCs w:val="24"/>
        </w:rPr>
        <w:t xml:space="preserve"> JA, </w:t>
      </w:r>
      <w:proofErr w:type="spellStart"/>
      <w:r>
        <w:rPr>
          <w:rFonts w:ascii="Arial" w:hAnsi="Arial" w:cs="Arial"/>
          <w:sz w:val="24"/>
          <w:szCs w:val="24"/>
        </w:rPr>
        <w:t>Pritts</w:t>
      </w:r>
      <w:proofErr w:type="spellEnd"/>
      <w:r>
        <w:rPr>
          <w:rFonts w:ascii="Arial" w:hAnsi="Arial" w:cs="Arial"/>
          <w:sz w:val="24"/>
          <w:szCs w:val="24"/>
        </w:rPr>
        <w:t xml:space="preserve"> TA. Omission of routine chest X-ray after chest tube removal is safe in selected trauma patients. Am J </w:t>
      </w:r>
      <w:proofErr w:type="spellStart"/>
      <w:r>
        <w:rPr>
          <w:rFonts w:ascii="Arial" w:hAnsi="Arial" w:cs="Arial"/>
          <w:sz w:val="24"/>
          <w:szCs w:val="24"/>
        </w:rPr>
        <w:t>Surg</w:t>
      </w:r>
      <w:proofErr w:type="spellEnd"/>
      <w:r>
        <w:rPr>
          <w:rFonts w:ascii="Arial" w:hAnsi="Arial" w:cs="Arial"/>
          <w:sz w:val="24"/>
          <w:szCs w:val="24"/>
        </w:rPr>
        <w:t xml:space="preserve"> 2010;199:199-203.</w:t>
      </w:r>
    </w:p>
    <w:p w14:paraId="28847E9C" w14:textId="77777777" w:rsidR="009942AB" w:rsidRDefault="009942AB" w:rsidP="009942AB">
      <w:pPr>
        <w:shd w:val="clear" w:color="auto" w:fill="FFFFFF"/>
        <w:spacing w:after="0" w:line="240" w:lineRule="auto"/>
        <w:rPr>
          <w:rFonts w:ascii="Arial" w:hAnsi="Arial" w:cs="Arial"/>
          <w:sz w:val="24"/>
          <w:szCs w:val="24"/>
        </w:rPr>
      </w:pPr>
    </w:p>
    <w:p w14:paraId="7DF9E2E9" w14:textId="77777777" w:rsidR="009942AB" w:rsidRPr="006157C4" w:rsidRDefault="009942AB" w:rsidP="009942AB">
      <w:pPr>
        <w:rPr>
          <w:rFonts w:ascii="Arial" w:eastAsia="Times New Roman" w:hAnsi="Arial" w:cs="Arial"/>
          <w:sz w:val="24"/>
          <w:szCs w:val="24"/>
          <w:lang w:eastAsia="en-GB"/>
        </w:rPr>
      </w:pPr>
      <w:r>
        <w:rPr>
          <w:rFonts w:ascii="Arial" w:hAnsi="Arial" w:cs="Arial"/>
          <w:sz w:val="24"/>
          <w:szCs w:val="24"/>
        </w:rPr>
        <w:t xml:space="preserve">[5] National Health Service. NHS </w:t>
      </w:r>
      <w:r w:rsidRPr="001E2804">
        <w:rPr>
          <w:rFonts w:ascii="Arial" w:hAnsi="Arial" w:cs="Arial"/>
          <w:iCs/>
          <w:sz w:val="24"/>
          <w:szCs w:val="24"/>
        </w:rPr>
        <w:t xml:space="preserve">The </w:t>
      </w:r>
      <w:r>
        <w:rPr>
          <w:rFonts w:ascii="Arial" w:hAnsi="Arial" w:cs="Arial"/>
          <w:iCs/>
          <w:sz w:val="24"/>
          <w:szCs w:val="24"/>
        </w:rPr>
        <w:t>I</w:t>
      </w:r>
      <w:r w:rsidRPr="001E2804">
        <w:rPr>
          <w:rFonts w:ascii="Arial" w:hAnsi="Arial" w:cs="Arial"/>
          <w:iCs/>
          <w:sz w:val="24"/>
          <w:szCs w:val="24"/>
        </w:rPr>
        <w:t>nformation Standard Guide</w:t>
      </w:r>
      <w:r>
        <w:rPr>
          <w:rFonts w:ascii="Arial" w:hAnsi="Arial" w:cs="Arial"/>
          <w:iCs/>
          <w:sz w:val="24"/>
          <w:szCs w:val="24"/>
        </w:rPr>
        <w:t>:</w:t>
      </w:r>
      <w:r w:rsidRPr="001E2804">
        <w:rPr>
          <w:rFonts w:ascii="Arial" w:hAnsi="Arial" w:cs="Arial"/>
          <w:iCs/>
          <w:sz w:val="24"/>
          <w:szCs w:val="24"/>
        </w:rPr>
        <w:t xml:space="preserve"> </w:t>
      </w:r>
      <w:r w:rsidRPr="001E2804">
        <w:rPr>
          <w:rFonts w:ascii="Arial" w:eastAsia="Times New Roman" w:hAnsi="Arial" w:cs="Arial"/>
          <w:iCs/>
          <w:sz w:val="24"/>
          <w:szCs w:val="24"/>
          <w:lang w:eastAsia="en-GB"/>
        </w:rPr>
        <w:t>Finding the Evidence- A key step in the information production process</w:t>
      </w:r>
      <w:r>
        <w:rPr>
          <w:rFonts w:ascii="Arial" w:eastAsia="Times New Roman" w:hAnsi="Arial" w:cs="Arial"/>
          <w:sz w:val="24"/>
          <w:szCs w:val="24"/>
          <w:lang w:eastAsia="en-GB"/>
        </w:rPr>
        <w:t xml:space="preserve">; 23 August 2017.      2017 </w:t>
      </w:r>
      <w:hyperlink r:id="rId5" w:history="1">
        <w:r w:rsidRPr="00091EC0">
          <w:rPr>
            <w:rFonts w:ascii="Arial" w:hAnsi="Arial" w:cs="Arial"/>
            <w:color w:val="0000FF"/>
            <w:sz w:val="24"/>
            <w:szCs w:val="24"/>
          </w:rPr>
          <w:t>https://www.england.nhs.uk/wp-content/uploads/2017/02/tis-guide-finding-the-evidence-07nov.pdf</w:t>
        </w:r>
      </w:hyperlink>
      <w:r w:rsidRPr="00EB2526">
        <w:rPr>
          <w:rFonts w:ascii="Arial" w:eastAsia="Times New Roman" w:hAnsi="Arial" w:cs="Arial"/>
          <w:sz w:val="24"/>
          <w:szCs w:val="24"/>
          <w:lang w:eastAsia="en-GB"/>
        </w:rPr>
        <w:t xml:space="preserve"> </w:t>
      </w:r>
      <w:r>
        <w:rPr>
          <w:rFonts w:ascii="Arial" w:eastAsia="Times New Roman" w:hAnsi="Arial" w:cs="Arial"/>
          <w:sz w:val="24"/>
          <w:szCs w:val="24"/>
          <w:lang w:eastAsia="en-GB"/>
        </w:rPr>
        <w:t>(06 August 2020, date last accessed).</w:t>
      </w:r>
    </w:p>
    <w:p w14:paraId="76830658" w14:textId="77777777" w:rsidR="009942AB" w:rsidRDefault="009942AB" w:rsidP="009942AB">
      <w:pPr>
        <w:rPr>
          <w:rFonts w:ascii="Arial" w:hAnsi="Arial" w:cs="Arial"/>
          <w:sz w:val="24"/>
          <w:szCs w:val="24"/>
        </w:rPr>
      </w:pPr>
      <w:r>
        <w:rPr>
          <w:rFonts w:ascii="Arial" w:eastAsia="Times New Roman" w:hAnsi="Arial" w:cs="Arial"/>
          <w:sz w:val="24"/>
          <w:szCs w:val="24"/>
          <w:lang w:eastAsia="en-GB"/>
        </w:rPr>
        <w:t xml:space="preserve">[6] </w:t>
      </w:r>
      <w:r w:rsidRPr="003F1834">
        <w:rPr>
          <w:rFonts w:ascii="Arial" w:hAnsi="Arial" w:cs="Arial"/>
          <w:sz w:val="24"/>
          <w:szCs w:val="24"/>
        </w:rPr>
        <w:t>Cunningham</w:t>
      </w:r>
      <w:r>
        <w:rPr>
          <w:rFonts w:ascii="Arial" w:hAnsi="Arial" w:cs="Arial"/>
          <w:sz w:val="24"/>
          <w:szCs w:val="24"/>
        </w:rPr>
        <w:t xml:space="preserve"> JP, </w:t>
      </w:r>
      <w:r w:rsidRPr="003F1834">
        <w:rPr>
          <w:rFonts w:ascii="Arial" w:hAnsi="Arial" w:cs="Arial"/>
          <w:sz w:val="24"/>
          <w:szCs w:val="24"/>
        </w:rPr>
        <w:t>Knott</w:t>
      </w:r>
      <w:r>
        <w:rPr>
          <w:rFonts w:ascii="Arial" w:hAnsi="Arial" w:cs="Arial"/>
          <w:sz w:val="24"/>
          <w:szCs w:val="24"/>
        </w:rPr>
        <w:t xml:space="preserve"> EM, </w:t>
      </w:r>
      <w:proofErr w:type="spellStart"/>
      <w:r w:rsidRPr="003F1834">
        <w:rPr>
          <w:rFonts w:ascii="Arial" w:hAnsi="Arial" w:cs="Arial"/>
          <w:sz w:val="24"/>
          <w:szCs w:val="24"/>
        </w:rPr>
        <w:t>Gasior</w:t>
      </w:r>
      <w:proofErr w:type="spellEnd"/>
      <w:r>
        <w:rPr>
          <w:rFonts w:ascii="Arial" w:hAnsi="Arial" w:cs="Arial"/>
          <w:sz w:val="24"/>
          <w:szCs w:val="24"/>
        </w:rPr>
        <w:t xml:space="preserve"> AC, </w:t>
      </w:r>
      <w:proofErr w:type="spellStart"/>
      <w:r w:rsidRPr="003F1834">
        <w:rPr>
          <w:rFonts w:ascii="Arial" w:hAnsi="Arial" w:cs="Arial"/>
          <w:sz w:val="24"/>
          <w:szCs w:val="24"/>
        </w:rPr>
        <w:t>Juang</w:t>
      </w:r>
      <w:proofErr w:type="spellEnd"/>
      <w:r>
        <w:rPr>
          <w:rFonts w:ascii="Arial" w:hAnsi="Arial" w:cs="Arial"/>
          <w:sz w:val="24"/>
          <w:szCs w:val="24"/>
        </w:rPr>
        <w:t xml:space="preserve"> D, </w:t>
      </w:r>
      <w:r w:rsidRPr="003F1834">
        <w:rPr>
          <w:rFonts w:ascii="Arial" w:hAnsi="Arial" w:cs="Arial"/>
          <w:sz w:val="24"/>
          <w:szCs w:val="24"/>
        </w:rPr>
        <w:t>Snyder</w:t>
      </w:r>
      <w:r>
        <w:rPr>
          <w:rFonts w:ascii="Arial" w:hAnsi="Arial" w:cs="Arial"/>
          <w:sz w:val="24"/>
          <w:szCs w:val="24"/>
        </w:rPr>
        <w:t xml:space="preserve"> CL. </w:t>
      </w:r>
      <w:r w:rsidRPr="003F1834">
        <w:rPr>
          <w:rFonts w:ascii="Arial" w:hAnsi="Arial" w:cs="Arial"/>
          <w:sz w:val="24"/>
          <w:szCs w:val="24"/>
        </w:rPr>
        <w:t>St Peter</w:t>
      </w:r>
      <w:r>
        <w:rPr>
          <w:rFonts w:ascii="Arial" w:hAnsi="Arial" w:cs="Arial"/>
          <w:sz w:val="24"/>
          <w:szCs w:val="24"/>
        </w:rPr>
        <w:t xml:space="preserve"> SD, </w:t>
      </w:r>
      <w:proofErr w:type="spellStart"/>
      <w:r w:rsidRPr="003F1834">
        <w:rPr>
          <w:rFonts w:ascii="Arial" w:hAnsi="Arial" w:cs="Arial"/>
          <w:sz w:val="24"/>
          <w:szCs w:val="24"/>
        </w:rPr>
        <w:t>Ostlie</w:t>
      </w:r>
      <w:proofErr w:type="spellEnd"/>
      <w:r w:rsidRPr="003F1834">
        <w:rPr>
          <w:rFonts w:ascii="Arial" w:hAnsi="Arial" w:cs="Arial"/>
          <w:sz w:val="24"/>
          <w:szCs w:val="24"/>
        </w:rPr>
        <w:t xml:space="preserve"> </w:t>
      </w:r>
      <w:r>
        <w:rPr>
          <w:rFonts w:ascii="Arial" w:hAnsi="Arial" w:cs="Arial"/>
          <w:sz w:val="24"/>
          <w:szCs w:val="24"/>
        </w:rPr>
        <w:t xml:space="preserve">DJ. </w:t>
      </w:r>
      <w:r w:rsidRPr="003F1834">
        <w:rPr>
          <w:rFonts w:ascii="Arial" w:hAnsi="Arial" w:cs="Arial"/>
          <w:sz w:val="24"/>
          <w:szCs w:val="24"/>
        </w:rPr>
        <w:t xml:space="preserve">Is routine chest radiograph necessary after chest tube removal? </w:t>
      </w:r>
      <w:r>
        <w:rPr>
          <w:rFonts w:ascii="Arial" w:hAnsi="Arial" w:cs="Arial"/>
          <w:sz w:val="24"/>
          <w:szCs w:val="24"/>
        </w:rPr>
        <w:t xml:space="preserve">J </w:t>
      </w:r>
      <w:proofErr w:type="spellStart"/>
      <w:r>
        <w:rPr>
          <w:rFonts w:ascii="Arial" w:hAnsi="Arial" w:cs="Arial"/>
          <w:sz w:val="24"/>
          <w:szCs w:val="24"/>
        </w:rPr>
        <w:t>Pediatr</w:t>
      </w:r>
      <w:proofErr w:type="spellEnd"/>
      <w:r>
        <w:rPr>
          <w:rFonts w:ascii="Arial" w:hAnsi="Arial" w:cs="Arial"/>
          <w:sz w:val="24"/>
          <w:szCs w:val="24"/>
        </w:rPr>
        <w:t xml:space="preserve"> </w:t>
      </w:r>
      <w:proofErr w:type="spellStart"/>
      <w:r>
        <w:rPr>
          <w:rFonts w:ascii="Arial" w:hAnsi="Arial" w:cs="Arial"/>
          <w:sz w:val="24"/>
          <w:szCs w:val="24"/>
        </w:rPr>
        <w:t>Surg</w:t>
      </w:r>
      <w:proofErr w:type="spellEnd"/>
      <w:r>
        <w:rPr>
          <w:rFonts w:ascii="Arial" w:hAnsi="Arial" w:cs="Arial"/>
          <w:sz w:val="24"/>
          <w:szCs w:val="24"/>
        </w:rPr>
        <w:t xml:space="preserve"> 2014;49:1493-5. </w:t>
      </w:r>
    </w:p>
    <w:p w14:paraId="1B9747FF" w14:textId="77777777" w:rsidR="009942AB" w:rsidRDefault="009942AB" w:rsidP="009942AB">
      <w:pPr>
        <w:rPr>
          <w:rFonts w:ascii="Arial" w:hAnsi="Arial" w:cs="Arial"/>
          <w:sz w:val="24"/>
          <w:szCs w:val="24"/>
        </w:rPr>
      </w:pPr>
      <w:r>
        <w:rPr>
          <w:rFonts w:ascii="Arial" w:hAnsi="Arial" w:cs="Arial"/>
          <w:sz w:val="24"/>
          <w:szCs w:val="24"/>
        </w:rPr>
        <w:t xml:space="preserve">[7] Bret Johnson, Michaele Rylander, Alan L </w:t>
      </w:r>
      <w:proofErr w:type="spellStart"/>
      <w:r>
        <w:rPr>
          <w:rFonts w:ascii="Arial" w:hAnsi="Arial" w:cs="Arial"/>
          <w:sz w:val="24"/>
          <w:szCs w:val="24"/>
        </w:rPr>
        <w:t>Beres</w:t>
      </w:r>
      <w:proofErr w:type="spellEnd"/>
      <w:r>
        <w:rPr>
          <w:rFonts w:ascii="Arial" w:hAnsi="Arial" w:cs="Arial"/>
          <w:sz w:val="24"/>
          <w:szCs w:val="24"/>
        </w:rPr>
        <w:t xml:space="preserve">.  Do X-ray after chest tube removal change patient management? J </w:t>
      </w:r>
      <w:proofErr w:type="spellStart"/>
      <w:r>
        <w:rPr>
          <w:rFonts w:ascii="Arial" w:hAnsi="Arial" w:cs="Arial"/>
          <w:sz w:val="24"/>
          <w:szCs w:val="24"/>
        </w:rPr>
        <w:t>Pediatr</w:t>
      </w:r>
      <w:proofErr w:type="spellEnd"/>
      <w:r>
        <w:rPr>
          <w:rFonts w:ascii="Arial" w:hAnsi="Arial" w:cs="Arial"/>
          <w:sz w:val="24"/>
          <w:szCs w:val="24"/>
        </w:rPr>
        <w:t xml:space="preserve"> </w:t>
      </w:r>
      <w:proofErr w:type="spellStart"/>
      <w:r>
        <w:rPr>
          <w:rFonts w:ascii="Arial" w:hAnsi="Arial" w:cs="Arial"/>
          <w:sz w:val="24"/>
          <w:szCs w:val="24"/>
        </w:rPr>
        <w:t>Surg</w:t>
      </w:r>
      <w:proofErr w:type="spellEnd"/>
      <w:r>
        <w:rPr>
          <w:rFonts w:ascii="Arial" w:hAnsi="Arial" w:cs="Arial"/>
          <w:sz w:val="24"/>
          <w:szCs w:val="24"/>
        </w:rPr>
        <w:t xml:space="preserve"> 2017; 52:813-815. </w:t>
      </w:r>
    </w:p>
    <w:p w14:paraId="15B1B604" w14:textId="77777777" w:rsidR="009942AB" w:rsidRDefault="009942AB" w:rsidP="009942AB">
      <w:pPr>
        <w:rPr>
          <w:rFonts w:ascii="Arial" w:hAnsi="Arial" w:cs="Arial"/>
          <w:sz w:val="24"/>
          <w:szCs w:val="24"/>
        </w:rPr>
      </w:pPr>
      <w:r>
        <w:rPr>
          <w:rFonts w:ascii="Arial" w:hAnsi="Arial" w:cs="Arial"/>
          <w:sz w:val="24"/>
          <w:szCs w:val="24"/>
        </w:rPr>
        <w:t xml:space="preserve">[8] Ellen </w:t>
      </w:r>
      <w:proofErr w:type="spellStart"/>
      <w:r>
        <w:rPr>
          <w:rFonts w:ascii="Arial" w:hAnsi="Arial" w:cs="Arial"/>
          <w:sz w:val="24"/>
          <w:szCs w:val="24"/>
        </w:rPr>
        <w:t>Mcgrath</w:t>
      </w:r>
      <w:proofErr w:type="spellEnd"/>
      <w:r>
        <w:rPr>
          <w:rFonts w:ascii="Arial" w:hAnsi="Arial" w:cs="Arial"/>
          <w:sz w:val="24"/>
          <w:szCs w:val="24"/>
        </w:rPr>
        <w:t xml:space="preserve">, Lee </w:t>
      </w:r>
      <w:proofErr w:type="spellStart"/>
      <w:r>
        <w:rPr>
          <w:rFonts w:ascii="Arial" w:hAnsi="Arial" w:cs="Arial"/>
          <w:sz w:val="24"/>
          <w:szCs w:val="24"/>
        </w:rPr>
        <w:t>Ranstrom</w:t>
      </w:r>
      <w:proofErr w:type="spellEnd"/>
      <w:r>
        <w:rPr>
          <w:rFonts w:ascii="Arial" w:hAnsi="Arial" w:cs="Arial"/>
          <w:sz w:val="24"/>
          <w:szCs w:val="24"/>
        </w:rPr>
        <w:t xml:space="preserve">, Debra Lajoie, Lauren McGlynn, David Mooney. Is a chest radiograph requested after removal of chest tube in children? Journal of </w:t>
      </w:r>
      <w:proofErr w:type="spellStart"/>
      <w:r>
        <w:rPr>
          <w:rFonts w:ascii="Arial" w:hAnsi="Arial" w:cs="Arial"/>
          <w:sz w:val="24"/>
          <w:szCs w:val="24"/>
        </w:rPr>
        <w:t>Pediatric</w:t>
      </w:r>
      <w:proofErr w:type="spellEnd"/>
      <w:r>
        <w:rPr>
          <w:rFonts w:ascii="Arial" w:hAnsi="Arial" w:cs="Arial"/>
          <w:sz w:val="24"/>
          <w:szCs w:val="24"/>
        </w:rPr>
        <w:t xml:space="preserve"> Health Care 2017;31:588-593.</w:t>
      </w:r>
    </w:p>
    <w:p w14:paraId="5DA069A7" w14:textId="77777777" w:rsidR="009942AB" w:rsidRPr="0045619A" w:rsidRDefault="009942AB" w:rsidP="009942AB">
      <w:pPr>
        <w:pStyle w:val="Heading1"/>
        <w:rPr>
          <w:rFonts w:ascii="Arial" w:hAnsi="Arial" w:cs="Arial"/>
          <w:sz w:val="24"/>
          <w:szCs w:val="24"/>
        </w:rPr>
      </w:pPr>
      <w:r w:rsidRPr="009D59A3">
        <w:rPr>
          <w:rFonts w:ascii="Arial" w:hAnsi="Arial" w:cs="Arial"/>
          <w:b w:val="0"/>
          <w:bCs w:val="0"/>
          <w:sz w:val="24"/>
          <w:szCs w:val="24"/>
        </w:rPr>
        <w:t>[9]</w:t>
      </w:r>
      <w:r>
        <w:rPr>
          <w:rFonts w:ascii="Arial" w:hAnsi="Arial" w:cs="Arial"/>
          <w:sz w:val="24"/>
          <w:szCs w:val="24"/>
        </w:rPr>
        <w:t xml:space="preserve"> </w:t>
      </w:r>
      <w:r w:rsidRPr="0045619A">
        <w:rPr>
          <w:rFonts w:ascii="Arial" w:hAnsi="Arial" w:cs="Arial"/>
          <w:b w:val="0"/>
          <w:sz w:val="24"/>
          <w:szCs w:val="24"/>
        </w:rPr>
        <w:t>Hart C</w:t>
      </w:r>
      <w:r>
        <w:rPr>
          <w:rFonts w:ascii="Arial" w:hAnsi="Arial" w:cs="Arial"/>
          <w:b w:val="0"/>
          <w:sz w:val="24"/>
          <w:szCs w:val="24"/>
        </w:rPr>
        <w:t xml:space="preserve">. Doing your masters dissertation: SAGE essential study skills. London: SAGE publications Ltd, 2005: </w:t>
      </w:r>
      <w:r w:rsidRPr="0045619A">
        <w:rPr>
          <w:rFonts w:ascii="Arial" w:hAnsi="Arial" w:cs="Arial"/>
          <w:b w:val="0"/>
          <w:sz w:val="24"/>
          <w:szCs w:val="24"/>
        </w:rPr>
        <w:t xml:space="preserve"> </w:t>
      </w:r>
    </w:p>
    <w:p w14:paraId="6E022054" w14:textId="77777777" w:rsidR="009942AB" w:rsidRDefault="009942AB" w:rsidP="009942AB">
      <w:pPr>
        <w:pStyle w:val="Heading1"/>
        <w:shd w:val="clear" w:color="auto" w:fill="FFFFFF"/>
        <w:spacing w:before="240" w:beforeAutospacing="0" w:after="120" w:afterAutospacing="0" w:line="324" w:lineRule="atLeast"/>
        <w:rPr>
          <w:rFonts w:ascii="Arial" w:hAnsi="Arial" w:cs="Arial"/>
          <w:b w:val="0"/>
          <w:bCs w:val="0"/>
          <w:color w:val="000000"/>
          <w:sz w:val="24"/>
          <w:szCs w:val="24"/>
        </w:rPr>
      </w:pPr>
      <w:r>
        <w:rPr>
          <w:rStyle w:val="authors-list-item"/>
          <w:rFonts w:ascii="Arial" w:hAnsi="Arial" w:cs="Arial"/>
          <w:b w:val="0"/>
          <w:bCs w:val="0"/>
          <w:color w:val="000000"/>
          <w:sz w:val="24"/>
          <w:szCs w:val="24"/>
        </w:rPr>
        <w:t xml:space="preserve">[10] </w:t>
      </w:r>
      <w:r w:rsidRPr="00091EC0">
        <w:rPr>
          <w:rFonts w:ascii="Arial" w:hAnsi="Arial" w:cs="Arial"/>
          <w:b w:val="0"/>
          <w:bCs w:val="0"/>
          <w:sz w:val="24"/>
          <w:szCs w:val="24"/>
        </w:rPr>
        <w:t>National Cancer Institute. NIH Cancer causes and prevention</w:t>
      </w:r>
      <w:r>
        <w:rPr>
          <w:rFonts w:ascii="Arial" w:hAnsi="Arial" w:cs="Arial"/>
          <w:b w:val="0"/>
          <w:bCs w:val="0"/>
          <w:sz w:val="24"/>
          <w:szCs w:val="24"/>
        </w:rPr>
        <w:t xml:space="preserve">; 07 March 2019. </w:t>
      </w:r>
      <w:r>
        <w:t xml:space="preserve"> </w:t>
      </w:r>
      <w:r w:rsidRPr="00A1194F">
        <w:rPr>
          <w:rFonts w:ascii="Arial" w:hAnsi="Arial" w:cs="Arial"/>
          <w:b w:val="0"/>
          <w:bCs w:val="0"/>
          <w:sz w:val="24"/>
          <w:szCs w:val="24"/>
        </w:rPr>
        <w:t>2019</w:t>
      </w:r>
      <w:r>
        <w:rPr>
          <w:rFonts w:ascii="Arial" w:hAnsi="Arial" w:cs="Arial"/>
          <w:sz w:val="24"/>
          <w:szCs w:val="24"/>
        </w:rPr>
        <w:t xml:space="preserve"> </w:t>
      </w:r>
      <w:hyperlink r:id="rId6" w:history="1">
        <w:r w:rsidRPr="00091EC0">
          <w:rPr>
            <w:rStyle w:val="Hyperlink"/>
            <w:rFonts w:ascii="Arial" w:hAnsi="Arial" w:cs="Arial"/>
            <w:b w:val="0"/>
            <w:bCs w:val="0"/>
            <w:sz w:val="24"/>
            <w:szCs w:val="24"/>
          </w:rPr>
          <w:t>https://www.cancer.gov/about-cancer/causes-prevention/risk/radiation</w:t>
        </w:r>
      </w:hyperlink>
      <w:r w:rsidRPr="00091EC0">
        <w:rPr>
          <w:rFonts w:ascii="Arial" w:hAnsi="Arial" w:cs="Arial"/>
          <w:b w:val="0"/>
          <w:bCs w:val="0"/>
          <w:sz w:val="24"/>
          <w:szCs w:val="24"/>
        </w:rPr>
        <w:t xml:space="preserve"> </w:t>
      </w:r>
      <w:r>
        <w:rPr>
          <w:rFonts w:ascii="Arial" w:hAnsi="Arial" w:cs="Arial"/>
          <w:b w:val="0"/>
          <w:bCs w:val="0"/>
          <w:color w:val="000000"/>
          <w:sz w:val="24"/>
          <w:szCs w:val="24"/>
        </w:rPr>
        <w:t>(28 July 2020, date last accessed).</w:t>
      </w:r>
    </w:p>
    <w:p w14:paraId="629F2F99" w14:textId="77777777" w:rsidR="009942AB" w:rsidRDefault="009942AB" w:rsidP="009942AB">
      <w:pPr>
        <w:pStyle w:val="Heading1"/>
        <w:shd w:val="clear" w:color="auto" w:fill="FFFFFF"/>
        <w:spacing w:before="240" w:beforeAutospacing="0" w:after="120" w:afterAutospacing="0" w:line="324" w:lineRule="atLeast"/>
        <w:rPr>
          <w:rFonts w:ascii="Arial" w:hAnsi="Arial" w:cs="Arial"/>
          <w:b w:val="0"/>
          <w:bCs w:val="0"/>
          <w:color w:val="000000"/>
          <w:sz w:val="24"/>
          <w:szCs w:val="24"/>
        </w:rPr>
      </w:pPr>
      <w:r w:rsidRPr="00580755">
        <w:rPr>
          <w:rFonts w:ascii="Arial" w:hAnsi="Arial" w:cs="Arial"/>
          <w:b w:val="0"/>
          <w:bCs w:val="0"/>
          <w:color w:val="000000"/>
          <w:sz w:val="24"/>
          <w:szCs w:val="24"/>
        </w:rPr>
        <w:t>[1</w:t>
      </w:r>
      <w:r>
        <w:rPr>
          <w:rFonts w:ascii="Arial" w:hAnsi="Arial" w:cs="Arial"/>
          <w:b w:val="0"/>
          <w:bCs w:val="0"/>
          <w:color w:val="000000"/>
          <w:sz w:val="24"/>
          <w:szCs w:val="24"/>
        </w:rPr>
        <w:t>1</w:t>
      </w:r>
      <w:r w:rsidRPr="00580755">
        <w:rPr>
          <w:rFonts w:ascii="Arial" w:hAnsi="Arial" w:cs="Arial"/>
          <w:b w:val="0"/>
          <w:bCs w:val="0"/>
          <w:color w:val="000000"/>
          <w:sz w:val="24"/>
          <w:szCs w:val="24"/>
        </w:rPr>
        <w:t xml:space="preserve">] Luna </w:t>
      </w:r>
      <w:proofErr w:type="spellStart"/>
      <w:r w:rsidRPr="00580755">
        <w:rPr>
          <w:rFonts w:ascii="Arial" w:hAnsi="Arial" w:cs="Arial"/>
          <w:b w:val="0"/>
          <w:bCs w:val="0"/>
          <w:color w:val="000000"/>
          <w:sz w:val="24"/>
          <w:szCs w:val="24"/>
        </w:rPr>
        <w:t>Gargan</w:t>
      </w:r>
      <w:proofErr w:type="spellEnd"/>
      <w:r w:rsidRPr="00580755">
        <w:rPr>
          <w:rFonts w:ascii="Arial" w:hAnsi="Arial" w:cs="Arial"/>
          <w:b w:val="0"/>
          <w:bCs w:val="0"/>
          <w:color w:val="000000"/>
          <w:sz w:val="24"/>
          <w:szCs w:val="24"/>
        </w:rPr>
        <w:t xml:space="preserve">, Eugenio </w:t>
      </w:r>
      <w:proofErr w:type="spellStart"/>
      <w:r w:rsidRPr="00580755">
        <w:rPr>
          <w:rFonts w:ascii="Arial" w:hAnsi="Arial" w:cs="Arial"/>
          <w:b w:val="0"/>
          <w:bCs w:val="0"/>
          <w:color w:val="000000"/>
          <w:sz w:val="24"/>
          <w:szCs w:val="24"/>
        </w:rPr>
        <w:t>Picana</w:t>
      </w:r>
      <w:proofErr w:type="spellEnd"/>
      <w:r w:rsidRPr="00A1194F">
        <w:rPr>
          <w:rFonts w:ascii="Arial" w:hAnsi="Arial" w:cs="Arial"/>
          <w:b w:val="0"/>
          <w:bCs w:val="0"/>
          <w:color w:val="000000"/>
          <w:sz w:val="24"/>
          <w:szCs w:val="24"/>
        </w:rPr>
        <w:t>.</w:t>
      </w:r>
      <w:r>
        <w:rPr>
          <w:rFonts w:ascii="Arial" w:hAnsi="Arial" w:cs="Arial"/>
          <w:color w:val="000000"/>
          <w:sz w:val="24"/>
          <w:szCs w:val="24"/>
        </w:rPr>
        <w:t xml:space="preserve"> </w:t>
      </w:r>
      <w:r w:rsidRPr="00D7214B">
        <w:rPr>
          <w:rFonts w:ascii="Arial" w:hAnsi="Arial" w:cs="Arial"/>
          <w:b w:val="0"/>
          <w:bCs w:val="0"/>
          <w:sz w:val="24"/>
          <w:szCs w:val="24"/>
        </w:rPr>
        <w:t>The risk of cumulative radiation exposure in chest imaging and the advantage of bedside ultrasound</w:t>
      </w:r>
      <w:r>
        <w:rPr>
          <w:rFonts w:ascii="Arial" w:hAnsi="Arial" w:cs="Arial"/>
          <w:b w:val="0"/>
          <w:bCs w:val="0"/>
          <w:color w:val="000000"/>
          <w:sz w:val="24"/>
          <w:szCs w:val="24"/>
        </w:rPr>
        <w:t xml:space="preserve">. </w:t>
      </w:r>
      <w:r w:rsidRPr="00A1194F">
        <w:rPr>
          <w:rFonts w:ascii="Arial" w:hAnsi="Arial" w:cs="Arial"/>
          <w:b w:val="0"/>
          <w:bCs w:val="0"/>
          <w:sz w:val="24"/>
          <w:szCs w:val="24"/>
          <w:shd w:val="clear" w:color="auto" w:fill="FFFFFF"/>
        </w:rPr>
        <w:t>Crit Ultrasound J</w:t>
      </w:r>
      <w:r>
        <w:rPr>
          <w:rFonts w:ascii="Arial" w:hAnsi="Arial" w:cs="Arial"/>
          <w:sz w:val="24"/>
          <w:szCs w:val="24"/>
          <w:shd w:val="clear" w:color="auto" w:fill="FFFFFF"/>
        </w:rPr>
        <w:t xml:space="preserve"> </w:t>
      </w:r>
      <w:r w:rsidRPr="00580755">
        <w:rPr>
          <w:rFonts w:ascii="Arial" w:hAnsi="Arial" w:cs="Arial"/>
          <w:b w:val="0"/>
          <w:bCs w:val="0"/>
          <w:sz w:val="24"/>
          <w:szCs w:val="24"/>
          <w:shd w:val="clear" w:color="auto" w:fill="FFFFFF"/>
        </w:rPr>
        <w:t xml:space="preserve">2015 March 28; </w:t>
      </w:r>
      <w:r w:rsidRPr="00580755">
        <w:rPr>
          <w:rStyle w:val="fm-vol-iss-date"/>
          <w:rFonts w:ascii="Arial" w:hAnsi="Arial" w:cs="Arial"/>
          <w:b w:val="0"/>
          <w:bCs w:val="0"/>
          <w:color w:val="000000"/>
          <w:sz w:val="20"/>
          <w:szCs w:val="20"/>
          <w:shd w:val="clear" w:color="auto" w:fill="FFFFFF"/>
        </w:rPr>
        <w:t> </w:t>
      </w:r>
      <w:proofErr w:type="spellStart"/>
      <w:r w:rsidRPr="00580755">
        <w:rPr>
          <w:rStyle w:val="doi"/>
          <w:rFonts w:ascii="Arial" w:hAnsi="Arial" w:cs="Arial"/>
          <w:b w:val="0"/>
          <w:bCs w:val="0"/>
          <w:color w:val="000000"/>
          <w:sz w:val="24"/>
          <w:szCs w:val="24"/>
          <w:shd w:val="clear" w:color="auto" w:fill="FFFFFF"/>
        </w:rPr>
        <w:t>doi</w:t>
      </w:r>
      <w:proofErr w:type="spellEnd"/>
      <w:r w:rsidRPr="00580755">
        <w:rPr>
          <w:rStyle w:val="doi"/>
          <w:rFonts w:ascii="Arial" w:hAnsi="Arial" w:cs="Arial"/>
          <w:b w:val="0"/>
          <w:bCs w:val="0"/>
          <w:color w:val="000000"/>
          <w:sz w:val="24"/>
          <w:szCs w:val="24"/>
          <w:shd w:val="clear" w:color="auto" w:fill="FFFFFF"/>
        </w:rPr>
        <w:t>:</w:t>
      </w:r>
      <w:r w:rsidRPr="00580755">
        <w:rPr>
          <w:rStyle w:val="doi"/>
          <w:rFonts w:ascii="Arial" w:hAnsi="Arial" w:cs="Arial"/>
          <w:color w:val="000000"/>
          <w:sz w:val="24"/>
          <w:szCs w:val="24"/>
          <w:shd w:val="clear" w:color="auto" w:fill="FFFFFF"/>
        </w:rPr>
        <w:t> </w:t>
      </w:r>
      <w:hyperlink r:id="rId7" w:tgtFrame="pmc_ext" w:history="1">
        <w:r w:rsidRPr="00AA6402">
          <w:rPr>
            <w:rFonts w:ascii="Arial" w:hAnsi="Arial" w:cs="Arial"/>
            <w:b w:val="0"/>
            <w:bCs w:val="0"/>
            <w:sz w:val="24"/>
            <w:szCs w:val="24"/>
            <w:shd w:val="clear" w:color="auto" w:fill="FFFFFF"/>
          </w:rPr>
          <w:t>10.1186/s13089-015-0020-x</w:t>
        </w:r>
      </w:hyperlink>
      <w:r w:rsidRPr="00580755">
        <w:rPr>
          <w:rStyle w:val="doi"/>
          <w:rFonts w:ascii="Arial" w:hAnsi="Arial" w:cs="Arial"/>
          <w:b w:val="0"/>
          <w:bCs w:val="0"/>
          <w:color w:val="000000"/>
          <w:sz w:val="24"/>
          <w:szCs w:val="24"/>
          <w:shd w:val="clear" w:color="auto" w:fill="FFFFFF"/>
        </w:rPr>
        <w:t xml:space="preserve"> </w:t>
      </w:r>
      <w:r>
        <w:rPr>
          <w:rFonts w:ascii="Arial" w:hAnsi="Arial" w:cs="Arial"/>
          <w:b w:val="0"/>
          <w:bCs w:val="0"/>
          <w:sz w:val="24"/>
          <w:szCs w:val="24"/>
        </w:rPr>
        <w:t xml:space="preserve">(28 July 2020, date last accessed).  </w:t>
      </w:r>
    </w:p>
    <w:p w14:paraId="0FF1EECE" w14:textId="77777777" w:rsidR="009942AB" w:rsidRPr="00A1194F" w:rsidRDefault="009942AB" w:rsidP="009942AB">
      <w:pPr>
        <w:pStyle w:val="Heading1"/>
        <w:shd w:val="clear" w:color="auto" w:fill="FFFFFF"/>
        <w:spacing w:before="240" w:beforeAutospacing="0" w:after="120" w:afterAutospacing="0" w:line="324" w:lineRule="atLeast"/>
        <w:rPr>
          <w:rFonts w:ascii="Arial" w:hAnsi="Arial" w:cs="Arial"/>
          <w:b w:val="0"/>
          <w:bCs w:val="0"/>
          <w:color w:val="000000"/>
          <w:sz w:val="24"/>
          <w:szCs w:val="24"/>
        </w:rPr>
      </w:pPr>
    </w:p>
    <w:p w14:paraId="4F630FBB" w14:textId="77777777" w:rsidR="009942AB" w:rsidRPr="004856A3" w:rsidRDefault="009942AB" w:rsidP="004856A3">
      <w:pPr>
        <w:spacing w:line="276" w:lineRule="auto"/>
        <w:rPr>
          <w:rFonts w:ascii="Arial" w:eastAsia="Times New Roman" w:hAnsi="Arial" w:cs="Arial"/>
          <w:bCs/>
          <w:color w:val="000000" w:themeColor="text1"/>
          <w:sz w:val="24"/>
          <w:szCs w:val="24"/>
        </w:rPr>
      </w:pPr>
    </w:p>
    <w:sectPr w:rsidR="009942AB" w:rsidRPr="00485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C7BDC"/>
    <w:multiLevelType w:val="hybridMultilevel"/>
    <w:tmpl w:val="D270A57A"/>
    <w:lvl w:ilvl="0" w:tplc="A4028E9A">
      <w:start w:val="1"/>
      <w:numFmt w:val="decimal"/>
      <w:lvlText w:val="%1."/>
      <w:lvlJc w:val="left"/>
      <w:pPr>
        <w:ind w:left="2061" w:hanging="360"/>
      </w:pPr>
      <w:rPr>
        <w:rFonts w:ascii="Arial" w:eastAsiaTheme="minorEastAsia" w:hAnsi="Arial" w:cs="Arial"/>
        <w:b w:val="0"/>
        <w:bCs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16cid:durableId="1349869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A3"/>
    <w:rsid w:val="000B4C03"/>
    <w:rsid w:val="00303DEC"/>
    <w:rsid w:val="004856A3"/>
    <w:rsid w:val="004C007A"/>
    <w:rsid w:val="00684570"/>
    <w:rsid w:val="00795792"/>
    <w:rsid w:val="009942AB"/>
    <w:rsid w:val="00D94477"/>
    <w:rsid w:val="00EF0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D1AD"/>
  <w15:chartTrackingRefBased/>
  <w15:docId w15:val="{1B6D055E-BC29-4D5C-9100-35D62CB9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42A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6A3"/>
    <w:pPr>
      <w:spacing w:after="200" w:line="276" w:lineRule="auto"/>
      <w:ind w:left="720"/>
      <w:contextualSpacing/>
    </w:pPr>
    <w:rPr>
      <w:kern w:val="0"/>
      <w14:ligatures w14:val="none"/>
    </w:rPr>
  </w:style>
  <w:style w:type="table" w:styleId="TableGrid">
    <w:name w:val="Table Grid"/>
    <w:basedOn w:val="TableNormal"/>
    <w:uiPriority w:val="39"/>
    <w:rsid w:val="000B4C0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42AB"/>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unhideWhenUsed/>
    <w:rsid w:val="009942AB"/>
    <w:rPr>
      <w:color w:val="0000FF"/>
      <w:u w:val="single"/>
    </w:rPr>
  </w:style>
  <w:style w:type="character" w:customStyle="1" w:styleId="authors-list-item">
    <w:name w:val="authors-list-item"/>
    <w:basedOn w:val="DefaultParagraphFont"/>
    <w:rsid w:val="009942AB"/>
  </w:style>
  <w:style w:type="character" w:customStyle="1" w:styleId="fm-vol-iss-date">
    <w:name w:val="fm-vol-iss-date"/>
    <w:basedOn w:val="DefaultParagraphFont"/>
    <w:rsid w:val="009942AB"/>
  </w:style>
  <w:style w:type="character" w:customStyle="1" w:styleId="doi">
    <w:name w:val="doi"/>
    <w:basedOn w:val="DefaultParagraphFont"/>
    <w:rsid w:val="0099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x.doi.org/10.1186%2Fs13089-015-0020-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cer.gov/about-cancer/causes-prevention/risk/radiation" TargetMode="External"/><Relationship Id="rId5" Type="http://schemas.openxmlformats.org/officeDocument/2006/relationships/hyperlink" Target="https://www.england.nhs.uk/wp-content/uploads/2017/02/tis-guide-finding-the-evidence-07nov.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liu</dc:creator>
  <cp:keywords/>
  <dc:description/>
  <cp:lastModifiedBy>Xiao liu</cp:lastModifiedBy>
  <cp:revision>2</cp:revision>
  <dcterms:created xsi:type="dcterms:W3CDTF">2023-06-07T10:50:00Z</dcterms:created>
  <dcterms:modified xsi:type="dcterms:W3CDTF">2023-06-07T11:52:00Z</dcterms:modified>
</cp:coreProperties>
</file>